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10875"/>
      </w:tblGrid>
      <w:tr w:rsidR="001C5BBF" w:rsidRPr="00AC7766" w:rsidTr="001C5BBF">
        <w:trPr>
          <w:trHeight w:val="266"/>
          <w:jc w:val="center"/>
        </w:trPr>
        <w:tc>
          <w:tcPr>
            <w:tcW w:w="10875" w:type="dxa"/>
            <w:shd w:val="clear" w:color="auto" w:fill="BFBFBF" w:themeFill="background1" w:themeFillShade="BF"/>
            <w:vAlign w:val="center"/>
          </w:tcPr>
          <w:p w:rsidR="001C5BBF" w:rsidRPr="00AC7766" w:rsidRDefault="001C5BBF" w:rsidP="004D2603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</w:rPr>
              <w:t>DESTINAÇÃO DOS RESÍDUOS QUÍMICOS E BIOLÓGICOS DO CAMPO</w:t>
            </w:r>
          </w:p>
        </w:tc>
      </w:tr>
    </w:tbl>
    <w:p w:rsidR="001C5BBF" w:rsidRDefault="001C5BBF" w:rsidP="008B7CA6">
      <w:pPr>
        <w:spacing w:after="120"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D574BF" w:rsidRPr="00E55CB9" w:rsidRDefault="00300831" w:rsidP="008B7CA6">
      <w:pPr>
        <w:pStyle w:val="Ttulo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B9">
        <w:rPr>
          <w:rFonts w:ascii="Times New Roman" w:hAnsi="Times New Roman" w:cs="Times New Roman"/>
          <w:b/>
          <w:sz w:val="24"/>
          <w:szCs w:val="24"/>
        </w:rPr>
        <w:t>INSTRUÇÕES</w:t>
      </w:r>
    </w:p>
    <w:p w:rsidR="00FD17B9" w:rsidRDefault="00FD17B9" w:rsidP="00FD17B9">
      <w:pPr>
        <w:pStyle w:val="Ttul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Instrução de Trabalho tem como objetivo orientar as Equipes de Campo dos escritórios do IDAF em relação à segregação e destinação de resíduos perigosos, em geral, Resíduos Biológicos ou Químicos, encaminhados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34294">
        <w:rPr>
          <w:rFonts w:ascii="Times New Roman" w:hAnsi="Times New Roman" w:cs="Times New Roman"/>
          <w:sz w:val="24"/>
          <w:szCs w:val="24"/>
        </w:rPr>
        <w:t xml:space="preserve">à Gerência </w:t>
      </w:r>
      <w:r>
        <w:rPr>
          <w:rFonts w:ascii="Times New Roman" w:hAnsi="Times New Roman" w:cs="Times New Roman"/>
          <w:sz w:val="24"/>
          <w:szCs w:val="24"/>
        </w:rPr>
        <w:t>de Diagnóstico Laboratorial (</w:t>
      </w:r>
      <w:r w:rsidR="00B34294">
        <w:rPr>
          <w:rFonts w:ascii="Times New Roman" w:hAnsi="Times New Roman" w:cs="Times New Roman"/>
          <w:sz w:val="24"/>
          <w:szCs w:val="24"/>
        </w:rPr>
        <w:t>GEDLAB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4294" w:rsidRPr="00B34294" w:rsidRDefault="00B34294" w:rsidP="00FD17B9">
      <w:pPr>
        <w:pStyle w:val="Ttulo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transporte dos resíduos é responsabilidade dos seus geradores, inclusive em caso de acidente no percurso. Portanto, para diminuir as chances de intercorrências no translado dos resíduos, sempre que possível, seria interessante que o descarte seja feito no próprio município através de parcerias com as unidades de saúde local, que fazem o descarte corretamente.</w:t>
      </w:r>
    </w:p>
    <w:p w:rsidR="00FD17B9" w:rsidRDefault="00FD17B9" w:rsidP="00FD17B9">
      <w:pPr>
        <w:pStyle w:val="Ttul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recebimento dos resíduos no </w:t>
      </w:r>
      <w:r w:rsidR="00B34294">
        <w:rPr>
          <w:rFonts w:ascii="Times New Roman" w:hAnsi="Times New Roman" w:cs="Times New Roman"/>
          <w:sz w:val="24"/>
          <w:szCs w:val="24"/>
        </w:rPr>
        <w:t>GEDLAB</w:t>
      </w:r>
      <w:r>
        <w:rPr>
          <w:rFonts w:ascii="Times New Roman" w:hAnsi="Times New Roman" w:cs="Times New Roman"/>
          <w:sz w:val="24"/>
          <w:szCs w:val="24"/>
        </w:rPr>
        <w:t xml:space="preserve"> estará condicionado ao cumprimento desta Instrução de Trabalho.</w:t>
      </w:r>
    </w:p>
    <w:p w:rsidR="00C169C5" w:rsidRDefault="00C169C5" w:rsidP="00C169C5">
      <w:pPr>
        <w:pStyle w:val="PargrafodaLista"/>
        <w:spacing w:after="0" w:line="360" w:lineRule="auto"/>
        <w:ind w:left="71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B19D7" w:rsidRPr="00E55CB9" w:rsidRDefault="003B19D7" w:rsidP="003B0C30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 necessário o devido preenchimento do Formulário – </w:t>
      </w:r>
      <w:r w:rsidRPr="0029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</w:t>
      </w:r>
      <w:r w:rsidR="00211963" w:rsidRPr="0029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29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DDL</w:t>
      </w:r>
      <w:r w:rsidR="00211963" w:rsidRPr="00293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810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078</w:t>
      </w:r>
      <w:r w:rsidRPr="00E55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assinatura do responsável </w:t>
      </w:r>
      <w:r w:rsidR="00447623" w:rsidRPr="00E55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gerador</w:t>
      </w:r>
      <w:r w:rsidRPr="00E55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encaminhamento ao </w:t>
      </w:r>
      <w:r w:rsidR="00B34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GEDLAB</w:t>
      </w:r>
      <w:r w:rsidR="00FD17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A74354" w:rsidRPr="00F46FCF" w:rsidRDefault="00A74354" w:rsidP="003B0C30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46F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É expressamente proibido o abandono de resíduos, sacolas ou caixas sem identificação nas dependências do </w:t>
      </w:r>
      <w:r w:rsidR="00B342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GEDLAB</w:t>
      </w:r>
      <w:r w:rsidRPr="00F46F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6379E" w:rsidRPr="00E55CB9" w:rsidRDefault="0076379E" w:rsidP="003B19D7">
      <w:pPr>
        <w:pStyle w:val="PargrafodaLista"/>
        <w:spacing w:after="0" w:line="360" w:lineRule="auto"/>
        <w:ind w:left="71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C2E5F" w:rsidRPr="00E55CB9" w:rsidRDefault="008B7CA6" w:rsidP="00C169C5">
      <w:pPr>
        <w:pStyle w:val="PargrafodaLista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55C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SEGREGAÇÃO E ACONDICIONAMENTO</w:t>
      </w:r>
    </w:p>
    <w:p w:rsidR="00473354" w:rsidRPr="006816B4" w:rsidRDefault="009921E9" w:rsidP="00DB624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21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Os resíduos biológicos:</w:t>
      </w:r>
    </w:p>
    <w:p w:rsidR="00293655" w:rsidRDefault="00293655" w:rsidP="00293655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E55CB9">
        <w:rPr>
          <w:color w:val="000000"/>
          <w:sz w:val="24"/>
          <w:szCs w:val="24"/>
          <w:shd w:val="clear" w:color="auto" w:fill="FFFFFF"/>
        </w:rPr>
        <w:t xml:space="preserve">Exemplos: luvas utilizadas nas coletas de campo, papel toalha sujo ou contaminado com o material possivelmente infectante, sacolas plásticas contaminadas, jalecos descartáveis, frascos de coleta, </w:t>
      </w:r>
      <w:proofErr w:type="spellStart"/>
      <w:r w:rsidRPr="00E55CB9">
        <w:rPr>
          <w:color w:val="000000"/>
          <w:sz w:val="24"/>
          <w:szCs w:val="24"/>
          <w:shd w:val="clear" w:color="auto" w:fill="FFFFFF"/>
        </w:rPr>
        <w:t>swabs</w:t>
      </w:r>
      <w:proofErr w:type="spellEnd"/>
      <w:r w:rsidRPr="00E55CB9">
        <w:rPr>
          <w:color w:val="000000"/>
          <w:sz w:val="24"/>
          <w:szCs w:val="24"/>
          <w:shd w:val="clear" w:color="auto" w:fill="FFFFFF"/>
        </w:rPr>
        <w:t>, algodão, gaze, compressa, ponteiras e vacinas de agentes vivos ou atenuados.</w:t>
      </w:r>
    </w:p>
    <w:p w:rsidR="00293655" w:rsidRDefault="00293655" w:rsidP="00293655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Estes resíduos</w:t>
      </w:r>
      <w:r w:rsidRPr="00E55CB9">
        <w:rPr>
          <w:color w:val="000000"/>
          <w:sz w:val="24"/>
          <w:szCs w:val="24"/>
          <w:shd w:val="clear" w:color="auto" w:fill="FFFFFF"/>
        </w:rPr>
        <w:t xml:space="preserve"> devem ser acondicionados em sacos BRANCOS, contendo o símbolo universal de risco biológico de tamanho compatível com a quantidade</w:t>
      </w:r>
      <w:r>
        <w:rPr>
          <w:color w:val="000000"/>
          <w:sz w:val="24"/>
          <w:szCs w:val="24"/>
          <w:shd w:val="clear" w:color="auto" w:fill="FFFFFF"/>
        </w:rPr>
        <w:t xml:space="preserve"> (não ultrapassar 2/3 da capacidade máxima do saco)</w:t>
      </w:r>
      <w:r w:rsidRPr="00E55CB9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O encaminhamento dos resíduos ao </w:t>
      </w:r>
      <w:r w:rsidR="00B34294">
        <w:rPr>
          <w:color w:val="000000"/>
          <w:sz w:val="24"/>
          <w:szCs w:val="24"/>
          <w:shd w:val="clear" w:color="auto" w:fill="FFFFFF"/>
        </w:rPr>
        <w:t>GEDLAB</w:t>
      </w:r>
      <w:r>
        <w:rPr>
          <w:color w:val="000000"/>
          <w:sz w:val="24"/>
          <w:szCs w:val="24"/>
          <w:shd w:val="clear" w:color="auto" w:fill="FFFFFF"/>
        </w:rPr>
        <w:t xml:space="preserve"> deverá ser feito com os sacos devidamente fechados com fita, barbante ou realizando um nó no próprio saco de lixo. </w:t>
      </w:r>
    </w:p>
    <w:p w:rsidR="00293655" w:rsidRPr="00E55CB9" w:rsidRDefault="00293655" w:rsidP="00293655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Não acondicionar material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perfurocortante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ex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>: agulhas, vidros) diretamente em saco de lixo, utilize caixas coletoras apropriadas.</w:t>
      </w:r>
    </w:p>
    <w:p w:rsidR="00ED155E" w:rsidRPr="00E55CB9" w:rsidRDefault="00DB05B7" w:rsidP="00DB05B7">
      <w:pPr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E55CB9">
        <w:rPr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343400" cy="21938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58" cy="220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B7" w:rsidRPr="00E55CB9" w:rsidRDefault="00DB05B7" w:rsidP="00ED155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E5D5C" w:rsidRPr="006816B4" w:rsidRDefault="009921E9" w:rsidP="00CE5D5C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921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Perfurocortante</w:t>
      </w:r>
      <w:proofErr w:type="spellEnd"/>
    </w:p>
    <w:p w:rsidR="00CE5D5C" w:rsidRPr="004A299F" w:rsidRDefault="00CE5D5C" w:rsidP="00CE5D5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A299F">
        <w:rPr>
          <w:sz w:val="24"/>
          <w:szCs w:val="24"/>
        </w:rPr>
        <w:t xml:space="preserve">São objetos considerados objetos </w:t>
      </w:r>
      <w:proofErr w:type="spellStart"/>
      <w:r w:rsidRPr="004A299F">
        <w:rPr>
          <w:sz w:val="24"/>
          <w:szCs w:val="24"/>
        </w:rPr>
        <w:t>perfurocortantes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materiais com potencial de causar ferimento perfurante ou </w:t>
      </w:r>
      <w:proofErr w:type="gramStart"/>
      <w:r>
        <w:rPr>
          <w:sz w:val="24"/>
          <w:szCs w:val="24"/>
        </w:rPr>
        <w:t>cortante</w:t>
      </w:r>
      <w:r w:rsidR="009110C8">
        <w:rPr>
          <w:sz w:val="24"/>
          <w:szCs w:val="24"/>
        </w:rPr>
        <w:t>.</w:t>
      </w:r>
      <w:proofErr w:type="gramEnd"/>
      <w:r w:rsidR="009110C8">
        <w:rPr>
          <w:sz w:val="24"/>
          <w:szCs w:val="24"/>
        </w:rPr>
        <w:t>E</w:t>
      </w:r>
      <w:r>
        <w:rPr>
          <w:sz w:val="24"/>
          <w:szCs w:val="24"/>
        </w:rPr>
        <w:t>xemplo</w:t>
      </w:r>
      <w:r w:rsidR="009110C8">
        <w:rPr>
          <w:sz w:val="24"/>
          <w:szCs w:val="24"/>
        </w:rPr>
        <w:t xml:space="preserve">: </w:t>
      </w:r>
      <w:r>
        <w:rPr>
          <w:sz w:val="24"/>
          <w:szCs w:val="24"/>
        </w:rPr>
        <w:t>a</w:t>
      </w:r>
      <w:r w:rsidRPr="004A299F">
        <w:rPr>
          <w:sz w:val="24"/>
          <w:szCs w:val="24"/>
        </w:rPr>
        <w:t xml:space="preserve">gulhas, seringas com agulhas, escalpes, ampolas de vidro, lâminas de bisturi, lâminas de barbear, tubos capilares,  micropipetas, lâminas e lamínulas,  espátulas , ponteiras de pipetas automáticas , utensílios de vidro quebrados (pipetas, tubos de coleta sanguínea e placas de </w:t>
      </w:r>
      <w:proofErr w:type="spellStart"/>
      <w:r w:rsidRPr="004A299F">
        <w:rPr>
          <w:sz w:val="24"/>
          <w:szCs w:val="24"/>
        </w:rPr>
        <w:t>petri</w:t>
      </w:r>
      <w:proofErr w:type="spellEnd"/>
      <w:r w:rsidRPr="004A299F">
        <w:rPr>
          <w:sz w:val="24"/>
          <w:szCs w:val="24"/>
        </w:rPr>
        <w:t>) e outros similares.</w:t>
      </w:r>
    </w:p>
    <w:p w:rsidR="009110C8" w:rsidRDefault="00CE5D5C" w:rsidP="00CE5D5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A299F">
        <w:rPr>
          <w:color w:val="000000"/>
          <w:sz w:val="24"/>
          <w:szCs w:val="24"/>
          <w:shd w:val="clear" w:color="auto" w:fill="FFFFFF"/>
        </w:rPr>
        <w:t xml:space="preserve">Para o caso de objetos </w:t>
      </w:r>
      <w:proofErr w:type="spellStart"/>
      <w:r w:rsidRPr="004A299F">
        <w:rPr>
          <w:color w:val="000000"/>
          <w:sz w:val="24"/>
          <w:szCs w:val="24"/>
          <w:shd w:val="clear" w:color="auto" w:fill="FFFFFF"/>
        </w:rPr>
        <w:t>perfurocortantes</w:t>
      </w:r>
      <w:proofErr w:type="spellEnd"/>
      <w:r w:rsidRPr="004A299F">
        <w:rPr>
          <w:color w:val="000000"/>
          <w:sz w:val="24"/>
          <w:szCs w:val="24"/>
          <w:shd w:val="clear" w:color="auto" w:fill="FFFFFF"/>
        </w:rPr>
        <w:t xml:space="preserve"> é necessári</w:t>
      </w:r>
      <w:r>
        <w:rPr>
          <w:color w:val="000000"/>
          <w:sz w:val="24"/>
          <w:szCs w:val="24"/>
          <w:shd w:val="clear" w:color="auto" w:fill="FFFFFF"/>
        </w:rPr>
        <w:t xml:space="preserve">a segregação destes e </w:t>
      </w:r>
      <w:r w:rsidRPr="004A299F">
        <w:rPr>
          <w:color w:val="000000"/>
          <w:sz w:val="24"/>
          <w:szCs w:val="24"/>
          <w:shd w:val="clear" w:color="auto" w:fill="FFFFFF"/>
        </w:rPr>
        <w:t xml:space="preserve">o armazenamento em caixas coletoras apropriadas. </w:t>
      </w:r>
      <w:proofErr w:type="spellStart"/>
      <w:proofErr w:type="gramStart"/>
      <w:r w:rsidRPr="004A299F">
        <w:rPr>
          <w:color w:val="000000"/>
          <w:sz w:val="24"/>
          <w:szCs w:val="24"/>
          <w:shd w:val="clear" w:color="auto" w:fill="FFFFFF"/>
        </w:rPr>
        <w:t>Ex</w:t>
      </w:r>
      <w:r w:rsidR="009110C8">
        <w:rPr>
          <w:color w:val="000000"/>
          <w:sz w:val="24"/>
          <w:szCs w:val="24"/>
          <w:shd w:val="clear" w:color="auto" w:fill="FFFFFF"/>
        </w:rPr>
        <w:t>emplo</w:t>
      </w:r>
      <w:r w:rsidRPr="004A299F">
        <w:rPr>
          <w:color w:val="000000"/>
          <w:sz w:val="24"/>
          <w:szCs w:val="24"/>
          <w:shd w:val="clear" w:color="auto" w:fill="FFFFFF"/>
        </w:rPr>
        <w:t>:</w:t>
      </w:r>
      <w:proofErr w:type="gramEnd"/>
      <w:r w:rsidRPr="004A299F">
        <w:rPr>
          <w:color w:val="000000"/>
          <w:sz w:val="24"/>
          <w:szCs w:val="24"/>
          <w:shd w:val="clear" w:color="auto" w:fill="FFFFFF"/>
        </w:rPr>
        <w:t>Caixa</w:t>
      </w:r>
      <w:proofErr w:type="spellEnd"/>
      <w:r w:rsidRPr="004A299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299F">
        <w:rPr>
          <w:color w:val="000000"/>
          <w:sz w:val="24"/>
          <w:szCs w:val="24"/>
          <w:shd w:val="clear" w:color="auto" w:fill="FFFFFF"/>
        </w:rPr>
        <w:t>Descarpack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ou </w:t>
      </w:r>
      <w:proofErr w:type="spellStart"/>
      <w:r>
        <w:rPr>
          <w:color w:val="000000"/>
          <w:sz w:val="24"/>
          <w:szCs w:val="24"/>
          <w:shd w:val="clear" w:color="auto" w:fill="FFFFFF"/>
        </w:rPr>
        <w:t>PolarFix</w:t>
      </w:r>
      <w:proofErr w:type="spellEnd"/>
      <w:r w:rsidRPr="004A299F">
        <w:rPr>
          <w:color w:val="000000"/>
          <w:sz w:val="24"/>
          <w:szCs w:val="24"/>
          <w:shd w:val="clear" w:color="auto" w:fill="FFFFFF"/>
        </w:rPr>
        <w:t>.</w:t>
      </w:r>
    </w:p>
    <w:p w:rsidR="00CE5D5C" w:rsidRPr="008B7CA6" w:rsidRDefault="00CE5D5C" w:rsidP="00CE5D5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7CA6">
        <w:rPr>
          <w:sz w:val="24"/>
        </w:rPr>
        <w:t>Ao atingir a marca tracejada no recipiente, o mesmo deverá ser fechado</w:t>
      </w:r>
      <w:r>
        <w:rPr>
          <w:sz w:val="24"/>
        </w:rPr>
        <w:t xml:space="preserve">, e então, encaminhado ao </w:t>
      </w:r>
      <w:r w:rsidR="00B34294">
        <w:rPr>
          <w:sz w:val="24"/>
        </w:rPr>
        <w:t>GEDLAB</w:t>
      </w:r>
      <w:r>
        <w:rPr>
          <w:sz w:val="24"/>
        </w:rPr>
        <w:t>.</w:t>
      </w:r>
    </w:p>
    <w:p w:rsidR="004A299F" w:rsidRPr="004A299F" w:rsidRDefault="004A299F" w:rsidP="004A299F">
      <w:pPr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E55CB9">
        <w:rPr>
          <w:rFonts w:ascii="Calibri" w:eastAsia="Calibri" w:hAnsi="Calibri"/>
          <w:noProof/>
          <w:sz w:val="24"/>
          <w:szCs w:val="24"/>
        </w:rPr>
        <w:drawing>
          <wp:inline distT="0" distB="0" distL="0" distR="0">
            <wp:extent cx="2057400" cy="2057400"/>
            <wp:effectExtent l="0" t="0" r="0" b="0"/>
            <wp:docPr id="2" name="Imagem 1" descr="perfu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uro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6DA" w:rsidRPr="00E55CB9" w:rsidRDefault="005966DA" w:rsidP="00C80C3C">
      <w:pPr>
        <w:pStyle w:val="PargrafodaLista"/>
        <w:spacing w:after="0" w:line="360" w:lineRule="auto"/>
        <w:ind w:left="71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73354" w:rsidRDefault="00D125D8" w:rsidP="00552E95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55CB9">
        <w:rPr>
          <w:color w:val="000000"/>
          <w:sz w:val="24"/>
          <w:szCs w:val="24"/>
          <w:shd w:val="clear" w:color="auto" w:fill="FFFFFF"/>
        </w:rPr>
        <w:t xml:space="preserve">B) </w:t>
      </w:r>
      <w:r w:rsidRPr="00E55CB9">
        <w:rPr>
          <w:b/>
          <w:color w:val="000000"/>
          <w:sz w:val="24"/>
          <w:szCs w:val="24"/>
          <w:shd w:val="clear" w:color="auto" w:fill="FFFFFF"/>
        </w:rPr>
        <w:t>Os resíduos químicos</w:t>
      </w:r>
      <w:r w:rsidR="00473354">
        <w:rPr>
          <w:b/>
          <w:color w:val="000000"/>
          <w:sz w:val="24"/>
          <w:szCs w:val="24"/>
          <w:shd w:val="clear" w:color="auto" w:fill="FFFFFF"/>
        </w:rPr>
        <w:t>:</w:t>
      </w:r>
    </w:p>
    <w:p w:rsidR="009110C8" w:rsidRDefault="009110C8" w:rsidP="00552E95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110C8" w:rsidRDefault="009110C8" w:rsidP="009110C8">
      <w:pPr>
        <w:spacing w:line="360" w:lineRule="auto"/>
        <w:jc w:val="both"/>
        <w:rPr>
          <w:sz w:val="24"/>
          <w:szCs w:val="24"/>
        </w:rPr>
      </w:pPr>
      <w:r w:rsidRPr="00E55CB9">
        <w:rPr>
          <w:sz w:val="24"/>
          <w:szCs w:val="24"/>
        </w:rPr>
        <w:t xml:space="preserve">São resíduos químicos: substâncias e produtos químicos rejeitados (vencidos ou em desuso), os resíduos provenientes de campanhas ou inquéritos sorológicos, produtos hormonais, antimicrobianos, líquido de </w:t>
      </w:r>
      <w:proofErr w:type="spellStart"/>
      <w:r w:rsidR="00B34294" w:rsidRPr="00E55CB9">
        <w:rPr>
          <w:sz w:val="24"/>
          <w:szCs w:val="24"/>
        </w:rPr>
        <w:t>Vall</w:t>
      </w:r>
      <w:r w:rsidR="00B34294">
        <w:rPr>
          <w:sz w:val="24"/>
          <w:szCs w:val="24"/>
        </w:rPr>
        <w:t>é</w:t>
      </w:r>
      <w:r w:rsidR="00B34294" w:rsidRPr="00E55CB9">
        <w:rPr>
          <w:sz w:val="24"/>
          <w:szCs w:val="24"/>
        </w:rPr>
        <w:t>e</w:t>
      </w:r>
      <w:proofErr w:type="spellEnd"/>
      <w:r w:rsidRPr="00E55CB9">
        <w:rPr>
          <w:sz w:val="24"/>
          <w:szCs w:val="24"/>
        </w:rPr>
        <w:t xml:space="preserve">, formol, </w:t>
      </w:r>
      <w:r>
        <w:rPr>
          <w:sz w:val="24"/>
          <w:szCs w:val="24"/>
        </w:rPr>
        <w:t>medicamentos</w:t>
      </w:r>
      <w:r w:rsidRPr="00E55CB9">
        <w:rPr>
          <w:sz w:val="24"/>
          <w:szCs w:val="24"/>
        </w:rPr>
        <w:t xml:space="preserve">, desinfetantes, </w:t>
      </w:r>
      <w:r w:rsidRPr="001406F6">
        <w:rPr>
          <w:sz w:val="24"/>
          <w:szCs w:val="24"/>
        </w:rPr>
        <w:t xml:space="preserve">T-61, </w:t>
      </w:r>
      <w:r>
        <w:rPr>
          <w:sz w:val="24"/>
          <w:szCs w:val="24"/>
        </w:rPr>
        <w:t>e</w:t>
      </w:r>
      <w:r w:rsidRPr="00DC1843">
        <w:rPr>
          <w:sz w:val="24"/>
          <w:szCs w:val="24"/>
        </w:rPr>
        <w:t xml:space="preserve"> qualquer </w:t>
      </w:r>
      <w:r>
        <w:rPr>
          <w:sz w:val="24"/>
          <w:szCs w:val="24"/>
        </w:rPr>
        <w:t xml:space="preserve">outro </w:t>
      </w:r>
      <w:r w:rsidRPr="00DC1843">
        <w:rPr>
          <w:sz w:val="24"/>
          <w:szCs w:val="24"/>
        </w:rPr>
        <w:t xml:space="preserve">produto com uma das seguintes características: </w:t>
      </w:r>
      <w:proofErr w:type="spellStart"/>
      <w:r w:rsidRPr="00E55CB9">
        <w:rPr>
          <w:sz w:val="24"/>
          <w:szCs w:val="24"/>
        </w:rPr>
        <w:t>inflamabilidade</w:t>
      </w:r>
      <w:proofErr w:type="spellEnd"/>
      <w:r w:rsidRPr="00E55CB9">
        <w:rPr>
          <w:sz w:val="24"/>
          <w:szCs w:val="24"/>
        </w:rPr>
        <w:t xml:space="preserve">, </w:t>
      </w:r>
      <w:proofErr w:type="spellStart"/>
      <w:r w:rsidRPr="00E55CB9">
        <w:rPr>
          <w:sz w:val="24"/>
          <w:szCs w:val="24"/>
        </w:rPr>
        <w:t>corrosividade</w:t>
      </w:r>
      <w:proofErr w:type="spellEnd"/>
      <w:r w:rsidRPr="00E55CB9">
        <w:rPr>
          <w:sz w:val="24"/>
          <w:szCs w:val="24"/>
        </w:rPr>
        <w:t>, reatividade ou toxicidade</w:t>
      </w:r>
      <w:r>
        <w:rPr>
          <w:sz w:val="24"/>
          <w:szCs w:val="24"/>
        </w:rPr>
        <w:t>.</w:t>
      </w:r>
    </w:p>
    <w:p w:rsidR="009110C8" w:rsidRDefault="009110C8" w:rsidP="009110C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Estes resíduos </w:t>
      </w:r>
      <w:r w:rsidRPr="00E55CB9">
        <w:rPr>
          <w:color w:val="000000"/>
          <w:sz w:val="24"/>
          <w:szCs w:val="24"/>
          <w:shd w:val="clear" w:color="auto" w:fill="FFFFFF"/>
        </w:rPr>
        <w:t xml:space="preserve">devem ser </w:t>
      </w:r>
      <w:r>
        <w:rPr>
          <w:color w:val="000000"/>
          <w:sz w:val="24"/>
          <w:szCs w:val="24"/>
          <w:shd w:val="clear" w:color="auto" w:fill="FFFFFF"/>
        </w:rPr>
        <w:t xml:space="preserve">separados e </w:t>
      </w:r>
      <w:r w:rsidRPr="00E55CB9">
        <w:rPr>
          <w:color w:val="000000"/>
          <w:sz w:val="24"/>
          <w:szCs w:val="24"/>
          <w:shd w:val="clear" w:color="auto" w:fill="FFFFFF"/>
        </w:rPr>
        <w:t xml:space="preserve">armazenados nos próprios frascos de origem ou em compartimentos ou frascos que possuam tampa </w:t>
      </w:r>
      <w:proofErr w:type="spellStart"/>
      <w:r w:rsidRPr="00E55CB9">
        <w:rPr>
          <w:color w:val="000000"/>
          <w:sz w:val="24"/>
          <w:szCs w:val="24"/>
          <w:shd w:val="clear" w:color="auto" w:fill="FFFFFF"/>
        </w:rPr>
        <w:t>rosqueávelvedante</w:t>
      </w:r>
      <w:proofErr w:type="spellEnd"/>
      <w:r w:rsidRPr="00E55CB9">
        <w:rPr>
          <w:color w:val="000000"/>
          <w:sz w:val="24"/>
          <w:szCs w:val="24"/>
          <w:shd w:val="clear" w:color="auto" w:fill="FFFFFF"/>
        </w:rPr>
        <w:t xml:space="preserve"> e devidamente identificados pelo o</w:t>
      </w:r>
      <w:r>
        <w:rPr>
          <w:color w:val="000000"/>
          <w:sz w:val="24"/>
          <w:szCs w:val="24"/>
          <w:shd w:val="clear" w:color="auto" w:fill="FFFFFF"/>
        </w:rPr>
        <w:t>perador</w:t>
      </w:r>
      <w:r w:rsidRPr="00E55CB9">
        <w:rPr>
          <w:color w:val="000000"/>
          <w:sz w:val="24"/>
          <w:szCs w:val="24"/>
          <w:shd w:val="clear" w:color="auto" w:fill="FFFFFF"/>
        </w:rPr>
        <w:t xml:space="preserve"> gerador.</w:t>
      </w:r>
    </w:p>
    <w:p w:rsidR="009110C8" w:rsidRPr="00E55CB9" w:rsidRDefault="009110C8" w:rsidP="009110C8">
      <w:pPr>
        <w:spacing w:line="360" w:lineRule="auto"/>
        <w:jc w:val="both"/>
        <w:rPr>
          <w:sz w:val="24"/>
          <w:szCs w:val="24"/>
        </w:rPr>
      </w:pPr>
      <w:r w:rsidRPr="00E55CB9">
        <w:rPr>
          <w:sz w:val="24"/>
          <w:szCs w:val="24"/>
        </w:rPr>
        <w:t xml:space="preserve">Quando forem utilizadas </w:t>
      </w:r>
      <w:proofErr w:type="spellStart"/>
      <w:r w:rsidRPr="00E55CB9">
        <w:rPr>
          <w:sz w:val="24"/>
          <w:szCs w:val="24"/>
        </w:rPr>
        <w:t>bombonas</w:t>
      </w:r>
      <w:proofErr w:type="spellEnd"/>
      <w:r w:rsidRPr="00E55CB9">
        <w:rPr>
          <w:sz w:val="24"/>
          <w:szCs w:val="24"/>
        </w:rPr>
        <w:t xml:space="preserve"> ou galões de 20 litros ou mais, estes devem ser preenchidos até 3/4 da capacidade total.</w:t>
      </w:r>
    </w:p>
    <w:p w:rsidR="009110C8" w:rsidRDefault="009110C8" w:rsidP="009110C8">
      <w:pPr>
        <w:spacing w:line="360" w:lineRule="auto"/>
        <w:jc w:val="both"/>
        <w:rPr>
          <w:sz w:val="24"/>
          <w:szCs w:val="24"/>
        </w:rPr>
      </w:pPr>
      <w:r w:rsidRPr="00E55CB9">
        <w:rPr>
          <w:sz w:val="24"/>
          <w:szCs w:val="24"/>
        </w:rPr>
        <w:t xml:space="preserve">Caso sejam utilizados frascos de volume inferior a 20 litros, os mesmos deverão ser acondicionados em caixa de papelão de tamanho compatível, que será lacrada e identificada por meio </w:t>
      </w:r>
      <w:r w:rsidR="008713B7">
        <w:rPr>
          <w:sz w:val="24"/>
          <w:szCs w:val="24"/>
        </w:rPr>
        <w:t>de etiqueta adesiva.</w:t>
      </w:r>
    </w:p>
    <w:p w:rsidR="009110C8" w:rsidRDefault="00A459C3" w:rsidP="009110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acondicionar em uma mesma caixa produtos químicos incompatíveis, mesmo que haja espaço sobrando na mesma </w:t>
      </w:r>
      <w:r w:rsidR="009110C8" w:rsidRPr="00E55CB9">
        <w:rPr>
          <w:sz w:val="24"/>
          <w:szCs w:val="24"/>
        </w:rPr>
        <w:t xml:space="preserve">(Resolução 420/2004 - ANTT). </w:t>
      </w:r>
      <w:r>
        <w:rPr>
          <w:sz w:val="24"/>
          <w:szCs w:val="24"/>
        </w:rPr>
        <w:t>(Tabela 1 – Produtos químicos incompatíveis)</w:t>
      </w:r>
      <w:r w:rsidR="009110C8" w:rsidRPr="00E55CB9">
        <w:rPr>
          <w:sz w:val="24"/>
          <w:szCs w:val="24"/>
        </w:rPr>
        <w:t>. Para evitar atrito entre os frascos, colocar jornal ou papelão entre eles.</w:t>
      </w:r>
    </w:p>
    <w:p w:rsidR="00AD5618" w:rsidRPr="00E55CB9" w:rsidRDefault="00AD5618" w:rsidP="009110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Comunique antecipadamente o envio de resíduos químicos ao GEDLAB.</w:t>
      </w:r>
    </w:p>
    <w:p w:rsidR="00705F42" w:rsidRPr="008713B7" w:rsidRDefault="00705F42" w:rsidP="008713B7">
      <w:pPr>
        <w:spacing w:line="360" w:lineRule="auto"/>
        <w:ind w:left="360"/>
        <w:jc w:val="both"/>
        <w:rPr>
          <w:sz w:val="24"/>
          <w:szCs w:val="24"/>
        </w:rPr>
      </w:pPr>
    </w:p>
    <w:p w:rsidR="00A74354" w:rsidRPr="00E55CB9" w:rsidRDefault="00A74354" w:rsidP="00A74354">
      <w:pPr>
        <w:spacing w:line="360" w:lineRule="auto"/>
        <w:jc w:val="center"/>
        <w:rPr>
          <w:sz w:val="24"/>
          <w:szCs w:val="24"/>
        </w:rPr>
      </w:pPr>
      <w:r w:rsidRPr="00E55CB9">
        <w:rPr>
          <w:noProof/>
          <w:sz w:val="24"/>
          <w:szCs w:val="24"/>
        </w:rPr>
        <w:drawing>
          <wp:inline distT="0" distB="0" distL="0" distR="0">
            <wp:extent cx="3752850" cy="317389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472" cy="317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11" w:rsidRPr="00452F11" w:rsidRDefault="00452F11" w:rsidP="00552E95">
      <w:pPr>
        <w:spacing w:line="360" w:lineRule="auto"/>
        <w:jc w:val="both"/>
        <w:rPr>
          <w:sz w:val="24"/>
          <w:szCs w:val="24"/>
        </w:rPr>
      </w:pPr>
    </w:p>
    <w:p w:rsidR="00A74354" w:rsidRPr="00E55CB9" w:rsidRDefault="008B7CA6" w:rsidP="008B7CA6">
      <w:pPr>
        <w:pStyle w:val="POP1"/>
        <w:numPr>
          <w:ilvl w:val="0"/>
          <w:numId w:val="11"/>
        </w:numPr>
        <w:tabs>
          <w:tab w:val="clear" w:pos="397"/>
        </w:tabs>
        <w:rPr>
          <w:szCs w:val="24"/>
        </w:rPr>
      </w:pPr>
      <w:r w:rsidRPr="00E55CB9">
        <w:rPr>
          <w:szCs w:val="24"/>
        </w:rPr>
        <w:t>REFERÊNCIAS</w:t>
      </w:r>
    </w:p>
    <w:p w:rsidR="00A74354" w:rsidRPr="00E55CB9" w:rsidRDefault="00A74354" w:rsidP="00A74354">
      <w:pPr>
        <w:pStyle w:val="Corpodetexto2"/>
        <w:spacing w:after="240" w:line="360" w:lineRule="auto"/>
        <w:rPr>
          <w:rFonts w:ascii="Times New Roman" w:hAnsi="Times New Roman"/>
          <w:szCs w:val="24"/>
          <w:shd w:val="clear" w:color="auto" w:fill="FFFFFF"/>
        </w:rPr>
      </w:pPr>
      <w:r w:rsidRPr="00E55CB9">
        <w:rPr>
          <w:rFonts w:ascii="Times New Roman" w:hAnsi="Times New Roman"/>
          <w:szCs w:val="24"/>
          <w:shd w:val="clear" w:color="auto" w:fill="FFFFFF"/>
        </w:rPr>
        <w:t>ASSOCIAÇÃO BRASILEIRA DE NORMAS TÉCNICAS. </w:t>
      </w:r>
      <w:r w:rsidRPr="00E55CB9">
        <w:rPr>
          <w:rStyle w:val="Forte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NBR 10004:2004: Resíduos sólidos – Classificação</w:t>
      </w:r>
      <w:r w:rsidRPr="00E55CB9">
        <w:rPr>
          <w:rFonts w:ascii="Times New Roman" w:hAnsi="Times New Roman"/>
          <w:szCs w:val="24"/>
          <w:shd w:val="clear" w:color="auto" w:fill="FFFFFF"/>
        </w:rPr>
        <w:t>. Rio de Janeiro, p. 71. 2004.</w:t>
      </w:r>
    </w:p>
    <w:p w:rsidR="00A74354" w:rsidRPr="00E55CB9" w:rsidRDefault="00A74354" w:rsidP="00A74354">
      <w:pPr>
        <w:pStyle w:val="Corpodetexto2"/>
        <w:spacing w:after="240" w:line="360" w:lineRule="auto"/>
        <w:rPr>
          <w:rFonts w:ascii="Times New Roman" w:hAnsi="Times New Roman"/>
          <w:szCs w:val="24"/>
          <w:shd w:val="clear" w:color="auto" w:fill="FFFFFF"/>
        </w:rPr>
      </w:pPr>
      <w:r w:rsidRPr="00E55CB9">
        <w:rPr>
          <w:rFonts w:ascii="Times New Roman" w:hAnsi="Times New Roman"/>
          <w:szCs w:val="24"/>
          <w:shd w:val="clear" w:color="auto" w:fill="FFFFFF"/>
        </w:rPr>
        <w:t>ASSOCIAÇÃO BRASILEIRA DE NORMAS TÉCNICAS. </w:t>
      </w:r>
      <w:r w:rsidRPr="00E55CB9">
        <w:rPr>
          <w:rStyle w:val="Forte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NBR 12807:1993: Resíduos de serviços de saúde</w:t>
      </w:r>
      <w:r w:rsidRPr="00E55CB9">
        <w:rPr>
          <w:rFonts w:ascii="Times New Roman" w:hAnsi="Times New Roman"/>
          <w:szCs w:val="24"/>
          <w:shd w:val="clear" w:color="auto" w:fill="FFFFFF"/>
        </w:rPr>
        <w:t>. Rio de Janeiro, p. 3. 1992.</w:t>
      </w:r>
    </w:p>
    <w:p w:rsidR="00A74354" w:rsidRPr="00E55CB9" w:rsidRDefault="00A74354" w:rsidP="00A74354">
      <w:pPr>
        <w:pStyle w:val="Corpodetexto2"/>
        <w:spacing w:after="240" w:line="360" w:lineRule="auto"/>
        <w:rPr>
          <w:rFonts w:ascii="Times New Roman" w:hAnsi="Times New Roman"/>
          <w:szCs w:val="24"/>
          <w:shd w:val="clear" w:color="auto" w:fill="FFFFFF"/>
        </w:rPr>
      </w:pPr>
      <w:r w:rsidRPr="00E55CB9">
        <w:rPr>
          <w:rFonts w:ascii="Times New Roman" w:hAnsi="Times New Roman"/>
          <w:szCs w:val="24"/>
          <w:shd w:val="clear" w:color="auto" w:fill="FFFFFF"/>
        </w:rPr>
        <w:t>ASSOCIAÇÃO BRASILEIRA DE NORMAS TÉCNICAS. </w:t>
      </w:r>
      <w:r w:rsidRPr="00E55CB9">
        <w:rPr>
          <w:rStyle w:val="Forte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NBR 12808:1993: Resíduos de serviços de saúde</w:t>
      </w:r>
      <w:r w:rsidRPr="00E55CB9">
        <w:rPr>
          <w:rFonts w:ascii="Times New Roman" w:hAnsi="Times New Roman"/>
          <w:szCs w:val="24"/>
          <w:shd w:val="clear" w:color="auto" w:fill="FFFFFF"/>
        </w:rPr>
        <w:t>. Rio de Janeiro, p. 3. 1992.</w:t>
      </w:r>
    </w:p>
    <w:p w:rsidR="00A74354" w:rsidRPr="00E55CB9" w:rsidRDefault="00A74354" w:rsidP="00A74354">
      <w:pPr>
        <w:pStyle w:val="Corpodetexto2"/>
        <w:spacing w:after="240" w:line="360" w:lineRule="auto"/>
        <w:rPr>
          <w:rFonts w:eastAsiaTheme="minorHAnsi"/>
          <w:color w:val="000000"/>
          <w:szCs w:val="24"/>
          <w:lang w:eastAsia="en-US"/>
        </w:rPr>
      </w:pPr>
      <w:r w:rsidRPr="00E55CB9">
        <w:rPr>
          <w:rFonts w:ascii="Times New Roman" w:hAnsi="Times New Roman"/>
          <w:szCs w:val="24"/>
          <w:shd w:val="clear" w:color="auto" w:fill="FFFFFF"/>
        </w:rPr>
        <w:lastRenderedPageBreak/>
        <w:t>ASSOCIAÇÃO BRASILEIRA DE NORMAS TÉCNICAS. </w:t>
      </w:r>
      <w:r w:rsidRPr="00E55CB9">
        <w:rPr>
          <w:rStyle w:val="Forte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NBR 12809:1993: Manuseio de resíduos de serviços de</w:t>
      </w:r>
      <w:r w:rsidR="006816B4">
        <w:rPr>
          <w:rStyle w:val="Forte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Pr="00E55CB9">
        <w:rPr>
          <w:rStyle w:val="Forte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saúde</w:t>
      </w:r>
      <w:r w:rsidRPr="00E55CB9">
        <w:rPr>
          <w:rFonts w:ascii="Times New Roman" w:hAnsi="Times New Roman"/>
          <w:szCs w:val="24"/>
          <w:shd w:val="clear" w:color="auto" w:fill="FFFFFF"/>
        </w:rPr>
        <w:t>. Rio de Janeiro, p. 4. 1992.</w:t>
      </w:r>
    </w:p>
    <w:p w:rsidR="00A74354" w:rsidRPr="00E55CB9" w:rsidRDefault="00A74354" w:rsidP="00A74354">
      <w:pPr>
        <w:spacing w:after="240" w:line="360" w:lineRule="auto"/>
        <w:jc w:val="both"/>
        <w:rPr>
          <w:color w:val="000000" w:themeColor="text1"/>
          <w:sz w:val="24"/>
          <w:szCs w:val="24"/>
        </w:rPr>
      </w:pPr>
      <w:r w:rsidRPr="00E55CB9">
        <w:rPr>
          <w:color w:val="000000" w:themeColor="text1"/>
          <w:sz w:val="24"/>
          <w:szCs w:val="24"/>
        </w:rPr>
        <w:t>FMUSP-HC.</w:t>
      </w:r>
      <w:r w:rsidR="006816B4">
        <w:rPr>
          <w:color w:val="000000" w:themeColor="text1"/>
          <w:sz w:val="24"/>
          <w:szCs w:val="24"/>
        </w:rPr>
        <w:t xml:space="preserve"> </w:t>
      </w:r>
      <w:r w:rsidRPr="00E55CB9">
        <w:rPr>
          <w:b/>
          <w:color w:val="000000" w:themeColor="text1"/>
          <w:sz w:val="24"/>
          <w:szCs w:val="24"/>
        </w:rPr>
        <w:t>Cartilha de Orientação de descarte de resíduo no Sistema FMUSP-</w:t>
      </w:r>
      <w:proofErr w:type="gramStart"/>
      <w:r w:rsidRPr="00E55CB9">
        <w:rPr>
          <w:b/>
          <w:color w:val="000000" w:themeColor="text1"/>
          <w:sz w:val="24"/>
          <w:szCs w:val="24"/>
        </w:rPr>
        <w:t>HC</w:t>
      </w:r>
      <w:r w:rsidRPr="00E55CB9">
        <w:rPr>
          <w:color w:val="000000" w:themeColor="text1"/>
          <w:sz w:val="24"/>
          <w:szCs w:val="24"/>
        </w:rPr>
        <w:t>.</w:t>
      </w:r>
      <w:proofErr w:type="gramEnd"/>
      <w:r w:rsidRPr="00E55CB9">
        <w:rPr>
          <w:color w:val="000000" w:themeColor="text1"/>
          <w:sz w:val="24"/>
          <w:szCs w:val="24"/>
        </w:rPr>
        <w:t xml:space="preserve">p. 40. Disponível em: </w:t>
      </w:r>
      <w:hyperlink r:id="rId12" w:history="1">
        <w:r w:rsidRPr="00E55CB9">
          <w:rPr>
            <w:rStyle w:val="Hyperlink"/>
            <w:sz w:val="24"/>
            <w:szCs w:val="24"/>
          </w:rPr>
          <w:t>http://www2.fm.usp.br/gdc/docs/cep_5_grss_2_cartilha.pdf</w:t>
        </w:r>
      </w:hyperlink>
      <w:r w:rsidRPr="00E55CB9">
        <w:rPr>
          <w:color w:val="000000" w:themeColor="text1"/>
          <w:sz w:val="24"/>
          <w:szCs w:val="24"/>
        </w:rPr>
        <w:t>. Acessado em: 20/02/2018.</w:t>
      </w:r>
    </w:p>
    <w:p w:rsidR="00A74354" w:rsidRDefault="00A74354" w:rsidP="00A74354">
      <w:pPr>
        <w:autoSpaceDE w:val="0"/>
        <w:autoSpaceDN w:val="0"/>
        <w:adjustRightInd w:val="0"/>
        <w:spacing w:after="240" w:line="360" w:lineRule="auto"/>
        <w:jc w:val="both"/>
        <w:rPr>
          <w:color w:val="231F20"/>
          <w:sz w:val="24"/>
          <w:szCs w:val="24"/>
        </w:rPr>
      </w:pPr>
      <w:r w:rsidRPr="00E55CB9">
        <w:rPr>
          <w:color w:val="231F20"/>
          <w:sz w:val="24"/>
          <w:szCs w:val="24"/>
        </w:rPr>
        <w:t xml:space="preserve">Plano de Controle Ambiental do </w:t>
      </w:r>
      <w:proofErr w:type="spellStart"/>
      <w:r w:rsidRPr="00E55CB9">
        <w:rPr>
          <w:color w:val="231F20"/>
          <w:sz w:val="24"/>
          <w:szCs w:val="24"/>
        </w:rPr>
        <w:t>Idaf</w:t>
      </w:r>
      <w:proofErr w:type="spellEnd"/>
      <w:r w:rsidRPr="00E55CB9">
        <w:rPr>
          <w:color w:val="231F20"/>
          <w:sz w:val="24"/>
          <w:szCs w:val="24"/>
        </w:rPr>
        <w:t>/ES.</w:t>
      </w:r>
    </w:p>
    <w:p w:rsidR="00A42DE5" w:rsidRPr="00E55CB9" w:rsidRDefault="00A42DE5" w:rsidP="00A74354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  <w:highlight w:val="yellow"/>
        </w:rPr>
      </w:pPr>
    </w:p>
    <w:p w:rsidR="00A74354" w:rsidRPr="008B7CA6" w:rsidRDefault="008B7CA6" w:rsidP="008B7CA6">
      <w:pPr>
        <w:pStyle w:val="PargrafodaLista"/>
        <w:numPr>
          <w:ilvl w:val="0"/>
          <w:numId w:val="11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8B7CA6">
        <w:rPr>
          <w:b/>
          <w:sz w:val="24"/>
          <w:szCs w:val="24"/>
        </w:rPr>
        <w:t xml:space="preserve">FORMULÁRIO PARA PREENCHIMENTO E ENVIO AO </w:t>
      </w:r>
      <w:r w:rsidR="00B34294">
        <w:rPr>
          <w:b/>
          <w:sz w:val="24"/>
          <w:szCs w:val="24"/>
        </w:rPr>
        <w:t>GEDLAB</w:t>
      </w:r>
    </w:p>
    <w:p w:rsidR="00A459C3" w:rsidRDefault="00A459C3" w:rsidP="00A42DE5">
      <w:pPr>
        <w:spacing w:after="200" w:line="276" w:lineRule="auto"/>
        <w:jc w:val="both"/>
        <w:rPr>
          <w:rFonts w:ascii="Garamond" w:hAnsi="Garamond" w:cs="Tahoma"/>
          <w:noProof/>
          <w:sz w:val="24"/>
          <w:szCs w:val="24"/>
        </w:rPr>
      </w:pPr>
    </w:p>
    <w:p w:rsidR="00A459C3" w:rsidRDefault="00A459C3" w:rsidP="00A42DE5">
      <w:pPr>
        <w:spacing w:after="200" w:line="276" w:lineRule="auto"/>
        <w:jc w:val="both"/>
        <w:rPr>
          <w:rFonts w:ascii="Garamond" w:hAnsi="Garamond" w:cs="Tahoma"/>
          <w:noProof/>
          <w:sz w:val="24"/>
          <w:szCs w:val="24"/>
        </w:rPr>
      </w:pPr>
    </w:p>
    <w:p w:rsidR="00A459C3" w:rsidRDefault="00A459C3" w:rsidP="00A42DE5">
      <w:pPr>
        <w:spacing w:after="200" w:line="276" w:lineRule="auto"/>
        <w:jc w:val="both"/>
        <w:rPr>
          <w:rFonts w:ascii="Garamond" w:hAnsi="Garamond" w:cs="Tahoma"/>
          <w:noProof/>
          <w:sz w:val="24"/>
          <w:szCs w:val="24"/>
        </w:rPr>
      </w:pPr>
    </w:p>
    <w:p w:rsidR="00A459C3" w:rsidRDefault="00A459C3" w:rsidP="00A42DE5">
      <w:pPr>
        <w:spacing w:after="200" w:line="276" w:lineRule="auto"/>
        <w:jc w:val="both"/>
        <w:rPr>
          <w:rFonts w:ascii="Garamond" w:hAnsi="Garamond" w:cs="Tahoma"/>
          <w:noProof/>
          <w:sz w:val="24"/>
          <w:szCs w:val="24"/>
        </w:rPr>
      </w:pPr>
    </w:p>
    <w:p w:rsidR="00A459C3" w:rsidRDefault="00A459C3" w:rsidP="00A42DE5">
      <w:pPr>
        <w:spacing w:after="200" w:line="276" w:lineRule="auto"/>
        <w:jc w:val="both"/>
        <w:rPr>
          <w:rFonts w:ascii="Garamond" w:hAnsi="Garamond" w:cs="Tahoma"/>
          <w:noProof/>
          <w:sz w:val="24"/>
          <w:szCs w:val="24"/>
        </w:rPr>
      </w:pPr>
    </w:p>
    <w:p w:rsidR="00A459C3" w:rsidRDefault="00A459C3" w:rsidP="00A42DE5">
      <w:pPr>
        <w:spacing w:after="200" w:line="276" w:lineRule="auto"/>
        <w:jc w:val="both"/>
        <w:rPr>
          <w:rFonts w:ascii="Garamond" w:hAnsi="Garamond" w:cs="Tahoma"/>
          <w:noProof/>
          <w:sz w:val="24"/>
          <w:szCs w:val="24"/>
        </w:rPr>
      </w:pPr>
    </w:p>
    <w:p w:rsidR="00466464" w:rsidRDefault="00466464" w:rsidP="00A42DE5">
      <w:pPr>
        <w:spacing w:after="200" w:line="276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noProof/>
          <w:sz w:val="24"/>
          <w:szCs w:val="24"/>
        </w:rPr>
        <w:lastRenderedPageBreak/>
        <w:drawing>
          <wp:inline distT="0" distB="0" distL="0" distR="0" wp14:anchorId="549823C0" wp14:editId="6BA05B15">
            <wp:extent cx="6696075" cy="82200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3" w:rsidRDefault="00A459C3">
      <w:pPr>
        <w:spacing w:after="200"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br w:type="page"/>
      </w:r>
    </w:p>
    <w:p w:rsidR="00A459C3" w:rsidRDefault="00A459C3" w:rsidP="00A459C3">
      <w:pPr>
        <w:pStyle w:val="PPOTexto"/>
      </w:pPr>
      <w:r>
        <w:lastRenderedPageBreak/>
        <w:t xml:space="preserve">Tabela 1 - Produtos Químicos Incompatíveis. Os códigos entre chaves indicam a classificação em {1} </w:t>
      </w:r>
      <w:proofErr w:type="gramStart"/>
      <w:r>
        <w:t>ácido ,</w:t>
      </w:r>
      <w:proofErr w:type="gramEnd"/>
      <w:r>
        <w:t xml:space="preserve"> {2} base , {3} oxidante , {4} redutor , {5} metal ou liga, {6} hidrolisável*. Tabela construída com dados da referência </w:t>
      </w:r>
      <w:proofErr w:type="gramStart"/>
      <w:r>
        <w:t>2</w:t>
      </w:r>
      <w:proofErr w:type="gramEnd"/>
      <w:r>
        <w:t xml:space="preserve"> e de Tabelas Merck® para laboratório.</w:t>
      </w:r>
    </w:p>
    <w:tbl>
      <w:tblPr>
        <w:tblW w:w="10205" w:type="dxa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substância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r w:rsidRPr="00161302">
              <w:rPr>
                <w:rFonts w:cs="Times New Roman"/>
                <w:sz w:val="20"/>
              </w:rPr>
              <w:t>Incompatível com</w:t>
            </w:r>
          </w:p>
        </w:tc>
      </w:tr>
      <w:tr w:rsidR="00A459C3" w:rsidRPr="00B17CEB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acetileno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r w:rsidRPr="00B17CEB">
              <w:rPr>
                <w:rFonts w:cs="Times New Roman"/>
                <w:sz w:val="20"/>
                <w:lang w:val="en-US"/>
              </w:rPr>
              <w:t>cloro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{3},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bromo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{3},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flúor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{3},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cobre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{5},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prata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{5} 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mercúrio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{5}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acetona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nítrico {1}, ácido sulfúrico {1}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acético {1}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óxido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cromo(VI) {1}, ácido nítrico {1}, álcoois, </w:t>
            </w:r>
            <w:proofErr w:type="spellStart"/>
            <w:r w:rsidRPr="00161302">
              <w:rPr>
                <w:rFonts w:cs="Times New Roman"/>
                <w:sz w:val="20"/>
              </w:rPr>
              <w:t>etilenoglicol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ácido </w:t>
            </w:r>
            <w:proofErr w:type="spellStart"/>
            <w:r w:rsidRPr="00161302">
              <w:rPr>
                <w:rFonts w:cs="Times New Roman"/>
                <w:sz w:val="20"/>
              </w:rPr>
              <w:t>perclórico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{1} , peróxidos {3}, permanganatos {3}.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cianídrico {1}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nítrico {1}, álcalis {2}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fluorídrico {1}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amoníaco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{2} e gás amônia {2}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nítrico concentrado {1}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acético {1}, anilina {2}, óxido de cromo(VI) {3} {1}, ácido cianídrico, sulfeto de hidrogênio, cobre {5}, bronze {5}, acetona, álcool, líquidos e gases inflamáveis. 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oxálico {1}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prata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{5} e mercúrio {5}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ácidoperclórico</w:t>
            </w:r>
            <w:proofErr w:type="spellEnd"/>
            <w:proofErr w:type="gramEnd"/>
            <w:r w:rsidRPr="00161302">
              <w:rPr>
                <w:rFonts w:cs="Times New Roman"/>
                <w:sz w:val="20"/>
              </w:rPr>
              <w:t xml:space="preserve"> {1}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anidrido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acético {6} {1}, ácido acético {1}, bismuto e suas ligas {5}, álcoois, papel, madeira, graxas e óleos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sulfúrico {1}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cloratos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{3}, </w:t>
            </w:r>
            <w:proofErr w:type="spellStart"/>
            <w:r w:rsidRPr="00161302">
              <w:rPr>
                <w:rFonts w:cs="Times New Roman"/>
                <w:sz w:val="20"/>
              </w:rPr>
              <w:t>percloratos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{3}, permanganatos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alquil</w:t>
            </w:r>
            <w:proofErr w:type="spellEnd"/>
            <w:proofErr w:type="gramEnd"/>
            <w:r w:rsidRPr="00161302">
              <w:rPr>
                <w:rFonts w:cs="Times New Roman"/>
                <w:sz w:val="20"/>
              </w:rPr>
              <w:t xml:space="preserve"> alumínio {6}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água</w:t>
            </w:r>
            <w:proofErr w:type="gramEnd"/>
          </w:p>
        </w:tc>
      </w:tr>
      <w:tr w:rsidR="00A459C3" w:rsidRPr="00B17CEB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amoníaco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e gás amônia {2}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r w:rsidRPr="00B17CEB">
              <w:rPr>
                <w:rFonts w:cs="Times New Roman"/>
                <w:sz w:val="20"/>
                <w:lang w:val="en-US"/>
              </w:rPr>
              <w:t>mercúrio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{5},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cloro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{3},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bromo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{5},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iodo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{3},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hipoclorito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de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cálcio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{3}, </w:t>
            </w:r>
            <w:proofErr w:type="spellStart"/>
            <w:r w:rsidRPr="00B17CEB">
              <w:rPr>
                <w:rFonts w:cs="Times New Roman"/>
                <w:sz w:val="20"/>
                <w:lang w:val="en-US"/>
              </w:rPr>
              <w:t>ácidofluorídrico</w:t>
            </w:r>
            <w:proofErr w:type="spellEnd"/>
            <w:r w:rsidRPr="00B17CEB">
              <w:rPr>
                <w:rFonts w:cs="Times New Roman"/>
                <w:sz w:val="20"/>
                <w:lang w:val="en-US"/>
              </w:rPr>
              <w:t xml:space="preserve"> {1}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anilina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{2}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nítrico {1} {3} e peróxido de hidrogênio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arseniatos</w:t>
            </w:r>
            <w:proofErr w:type="spellEnd"/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agentes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redutores {4} (geram arsina) 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azidas</w:t>
            </w:r>
            <w:proofErr w:type="spellEnd"/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(geram </w:t>
            </w:r>
            <w:proofErr w:type="spellStart"/>
            <w:r w:rsidRPr="00161302">
              <w:rPr>
                <w:rFonts w:cs="Times New Roman"/>
                <w:sz w:val="20"/>
              </w:rPr>
              <w:t>azida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de hidrogênio) {1}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bromo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amoníaco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{2}, acetileno, </w:t>
            </w:r>
            <w:proofErr w:type="spellStart"/>
            <w:r w:rsidRPr="00161302">
              <w:rPr>
                <w:rFonts w:cs="Times New Roman"/>
                <w:sz w:val="20"/>
              </w:rPr>
              <w:t>butadieno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butano, metano, propano, hidrogênio, benzina, benzeno, metais em pó {5}, </w:t>
            </w:r>
            <w:proofErr w:type="spellStart"/>
            <w:r w:rsidRPr="00161302">
              <w:rPr>
                <w:rFonts w:cs="Times New Roman"/>
                <w:sz w:val="20"/>
              </w:rPr>
              <w:t>carbeto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de sódio {6}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cal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(óxido de cálcio) {2}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água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e ácidos (exotérmica) {1}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carvão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ativado {4}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hipoclorito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cálcio {3}, oxidantes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cianetos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{1} (geram ácido cianídrico)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cloratos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sais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amônio, ácidos {1} , metais em pó {5}, </w:t>
            </w:r>
            <w:proofErr w:type="spellStart"/>
            <w:r w:rsidRPr="00161302">
              <w:rPr>
                <w:rFonts w:cs="Times New Roman"/>
                <w:sz w:val="20"/>
              </w:rPr>
              <w:t>enxôfre</w:t>
            </w:r>
            <w:proofErr w:type="spellEnd"/>
            <w:r w:rsidRPr="00161302">
              <w:rPr>
                <w:rFonts w:cs="Times New Roman"/>
                <w:sz w:val="20"/>
              </w:rPr>
              <w:t>, substâncias orgânicas inflamáveis ou em pó.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cloro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amônia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{2}, acetileno, </w:t>
            </w:r>
            <w:proofErr w:type="spellStart"/>
            <w:r w:rsidRPr="00161302">
              <w:rPr>
                <w:rFonts w:cs="Times New Roman"/>
                <w:sz w:val="20"/>
              </w:rPr>
              <w:t>butadieno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butano, metano, propano, hidrogênio, benzina, benzeno, metais em pó {5}, </w:t>
            </w:r>
            <w:proofErr w:type="spellStart"/>
            <w:r w:rsidRPr="00161302">
              <w:rPr>
                <w:rFonts w:cs="Times New Roman"/>
                <w:sz w:val="20"/>
              </w:rPr>
              <w:t>carbeto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de sódio {6}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cobre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{5}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acetileno</w:t>
            </w:r>
            <w:proofErr w:type="gramEnd"/>
            <w:r w:rsidRPr="00161302">
              <w:rPr>
                <w:rFonts w:cs="Times New Roman"/>
                <w:sz w:val="20"/>
              </w:rPr>
              <w:t>, peróxido de hidrogênio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dióxido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cloro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amônia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{2}, metano, fosfina {4}, sulfeto de hidrogênio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flúor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oxida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quase tudo, guarde-o em separado.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fósforo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(branco) {4}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álcalis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{2} (geram fosfina), ar, oxigênio {3}, </w:t>
            </w:r>
            <w:proofErr w:type="spellStart"/>
            <w:r w:rsidRPr="00161302">
              <w:rPr>
                <w:rFonts w:cs="Times New Roman"/>
                <w:sz w:val="20"/>
              </w:rPr>
              <w:t>enxôfre</w:t>
            </w:r>
            <w:proofErr w:type="spellEnd"/>
            <w:r w:rsidRPr="00161302">
              <w:rPr>
                <w:rFonts w:cs="Times New Roman"/>
                <w:sz w:val="20"/>
              </w:rPr>
              <w:t>, compostos com oxigênio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r w:rsidRPr="00161302">
              <w:rPr>
                <w:rFonts w:cs="Times New Roman"/>
                <w:sz w:val="20"/>
              </w:rPr>
              <w:br w:type="page"/>
            </w:r>
            <w:proofErr w:type="gramStart"/>
            <w:r w:rsidRPr="00161302">
              <w:rPr>
                <w:rFonts w:cs="Times New Roman"/>
                <w:sz w:val="20"/>
              </w:rPr>
              <w:t>hidrazina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{4}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peróxido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hidrogênio {3}, ácido nítrico {1} {3}, outros oxidantes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hidrocarbonetos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flúor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{3}, cloro {3}, bromo {3}, óxido de cromo(VI) {3} {1}, peróxido de sódio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hidroperóxido</w:t>
            </w:r>
            <w:proofErr w:type="spellEnd"/>
            <w:proofErr w:type="gramEnd"/>
            <w:r w:rsidRPr="00161302">
              <w:rPr>
                <w:rFonts w:cs="Times New Roman"/>
                <w:sz w:val="20"/>
              </w:rPr>
              <w:t xml:space="preserve"> de </w:t>
            </w:r>
            <w:proofErr w:type="spellStart"/>
            <w:r w:rsidRPr="00161302">
              <w:rPr>
                <w:rFonts w:cs="Times New Roman"/>
                <w:sz w:val="20"/>
              </w:rPr>
              <w:t>cumeno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orgânicos {1} e inorgânicos {1}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hipocloritos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{1} (geram cloro e ácido hipocloroso)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iodo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acetileno</w:t>
            </w:r>
            <w:proofErr w:type="gramEnd"/>
            <w:r w:rsidRPr="00161302">
              <w:rPr>
                <w:rFonts w:cs="Times New Roman"/>
                <w:sz w:val="20"/>
              </w:rPr>
              <w:t>, amoníaco {2}, gás amônia {2}, hidrogênio.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líquidos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inflamáveis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nitrato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amônio, óxido de cromo(VI) {1} {3}, peróxido de hidrogênio {3}, ácido nítrico {1} {3}, peróxido de sódio {3}, halogênios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mercúrio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{5}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acetileno</w:t>
            </w:r>
            <w:proofErr w:type="gramEnd"/>
            <w:r w:rsidRPr="00161302">
              <w:rPr>
                <w:rFonts w:cs="Times New Roman"/>
                <w:sz w:val="20"/>
              </w:rPr>
              <w:t>, amônia {2}, amoníaco {2}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metais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alcalinos {5} {6}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água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, hidrocarbonetos </w:t>
            </w:r>
            <w:proofErr w:type="spellStart"/>
            <w:r w:rsidRPr="00161302">
              <w:rPr>
                <w:rFonts w:cs="Times New Roman"/>
                <w:sz w:val="20"/>
              </w:rPr>
              <w:t>halogenados</w:t>
            </w:r>
            <w:proofErr w:type="spellEnd"/>
            <w:r w:rsidRPr="00161302">
              <w:rPr>
                <w:rFonts w:cs="Times New Roman"/>
                <w:sz w:val="20"/>
              </w:rPr>
              <w:t>, dióxido de carbono, halogênios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nitrato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amônio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{1}, metais em pó {5}, líquidos inflamáveis, cloratos {3}, nitritos {3}, </w:t>
            </w:r>
            <w:proofErr w:type="spellStart"/>
            <w:r w:rsidRPr="00161302">
              <w:rPr>
                <w:rFonts w:cs="Times New Roman"/>
                <w:sz w:val="20"/>
              </w:rPr>
              <w:t>enxôfre</w:t>
            </w:r>
            <w:proofErr w:type="spellEnd"/>
            <w:r w:rsidRPr="00161302">
              <w:rPr>
                <w:rFonts w:cs="Times New Roman"/>
                <w:sz w:val="20"/>
              </w:rPr>
              <w:t>, substâncias orgânicas inflamáveis ou em pó.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nitratos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sulfúrico {1} {3}(gera dióxido de nitrogênio)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nitritos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{1} (geram fumos nitrosos), nitrato de amônio, sais de amônio.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nitroparafinas</w:t>
            </w:r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bases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inorgânicas {2}, aminas {2}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óxido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cromo (VI)</w:t>
            </w:r>
          </w:p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r w:rsidRPr="00161302">
              <w:rPr>
                <w:rFonts w:cs="Times New Roman"/>
                <w:sz w:val="20"/>
              </w:rPr>
              <w:t>(ácido crômico) {1}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acético {1}, naftaleno, cânfora, glicerina, benzina, álcoois, líquidos inflamáveis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oxigênio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(gás puro)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óleos</w:t>
            </w:r>
            <w:proofErr w:type="gramEnd"/>
            <w:r w:rsidRPr="00161302">
              <w:rPr>
                <w:rFonts w:cs="Times New Roman"/>
                <w:sz w:val="20"/>
              </w:rPr>
              <w:t>, graxas, hidrogênio, substâncias inflamáveis.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perclorato</w:t>
            </w:r>
            <w:proofErr w:type="spellEnd"/>
            <w:proofErr w:type="gramEnd"/>
            <w:r w:rsidRPr="00161302">
              <w:rPr>
                <w:rFonts w:cs="Times New Roman"/>
                <w:sz w:val="20"/>
              </w:rPr>
              <w:t xml:space="preserve"> de potássio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sais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amônio, ácidos {1} , metais em pó {5}, </w:t>
            </w:r>
            <w:proofErr w:type="spellStart"/>
            <w:r w:rsidRPr="00161302">
              <w:rPr>
                <w:rFonts w:cs="Times New Roman"/>
                <w:sz w:val="20"/>
              </w:rPr>
              <w:t>enxôfre</w:t>
            </w:r>
            <w:proofErr w:type="spellEnd"/>
            <w:r w:rsidRPr="00161302">
              <w:rPr>
                <w:rFonts w:cs="Times New Roman"/>
                <w:sz w:val="20"/>
              </w:rPr>
              <w:t>, substâncias orgânicas inflamáveis ou em pó.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permanganato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potássio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glicerina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, </w:t>
            </w:r>
            <w:proofErr w:type="spellStart"/>
            <w:r w:rsidRPr="00161302">
              <w:rPr>
                <w:rFonts w:cs="Times New Roman"/>
                <w:sz w:val="20"/>
              </w:rPr>
              <w:t>etilenoglicol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</w:t>
            </w:r>
            <w:proofErr w:type="spellStart"/>
            <w:r w:rsidRPr="00161302">
              <w:rPr>
                <w:rFonts w:cs="Times New Roman"/>
                <w:sz w:val="20"/>
              </w:rPr>
              <w:t>benzaldeído</w:t>
            </w:r>
            <w:proofErr w:type="spellEnd"/>
            <w:r w:rsidRPr="00161302">
              <w:rPr>
                <w:rFonts w:cs="Times New Roman"/>
                <w:sz w:val="20"/>
              </w:rPr>
              <w:t>, ácido sulfúrico {1}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peróxido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hidrogênio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cobre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{5}, cromo {5}, ferro {5}, metais {5}, sais metálicos, álcoois, acetona, substâncias orgânicas, anilina {2}, </w:t>
            </w:r>
            <w:proofErr w:type="spellStart"/>
            <w:r w:rsidRPr="00161302">
              <w:rPr>
                <w:rFonts w:cs="Times New Roman"/>
                <w:sz w:val="20"/>
              </w:rPr>
              <w:t>nitrometano</w:t>
            </w:r>
            <w:proofErr w:type="spellEnd"/>
            <w:r w:rsidRPr="00161302">
              <w:rPr>
                <w:rFonts w:cs="Times New Roman"/>
                <w:sz w:val="20"/>
              </w:rPr>
              <w:t>, substâncias inflamáveis sólidas ou líquidas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lastRenderedPageBreak/>
              <w:t>peróxido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sódio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substâncias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oxidáveis {3}, metanol, etanol, ácido acético glacial {1}, anidrido acético {1} {6}, </w:t>
            </w:r>
            <w:proofErr w:type="spellStart"/>
            <w:r w:rsidRPr="00161302">
              <w:rPr>
                <w:rFonts w:cs="Times New Roman"/>
                <w:sz w:val="20"/>
              </w:rPr>
              <w:t>disulfeto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de carbono, glicerina, </w:t>
            </w:r>
            <w:proofErr w:type="spellStart"/>
            <w:r w:rsidRPr="00161302">
              <w:rPr>
                <w:rFonts w:cs="Times New Roman"/>
                <w:sz w:val="20"/>
              </w:rPr>
              <w:t>etilenoglicol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acetato de </w:t>
            </w:r>
            <w:proofErr w:type="spellStart"/>
            <w:r w:rsidRPr="00161302">
              <w:rPr>
                <w:rFonts w:cs="Times New Roman"/>
                <w:sz w:val="20"/>
              </w:rPr>
              <w:t>etila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acetato de metila, </w:t>
            </w:r>
            <w:proofErr w:type="spellStart"/>
            <w:r w:rsidRPr="00161302">
              <w:rPr>
                <w:rFonts w:cs="Times New Roman"/>
                <w:sz w:val="20"/>
              </w:rPr>
              <w:t>furfural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</w:t>
            </w:r>
            <w:proofErr w:type="spellStart"/>
            <w:r w:rsidRPr="00161302">
              <w:rPr>
                <w:rFonts w:cs="Times New Roman"/>
                <w:sz w:val="20"/>
              </w:rPr>
              <w:t>benzaldeído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, 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peróxidos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orgânicos {3}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orgânicos {1} ou inorgânicos {1}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prata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{5}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acetileno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, ácido oxálico {1} {4}, ácido tartárico {1}, sais de amônio 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selenetos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{4}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redutores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{4} (geram seleneto de hidrogênio)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sulfeto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de hidrogênio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nítrico fumegante {1} {3}, gases oxidantes {3}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sulfetos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{4}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ácidos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{1} (geram sulfeto de hidrogênio)</w:t>
            </w:r>
          </w:p>
        </w:tc>
      </w:tr>
      <w:tr w:rsidR="00A459C3" w:rsidRPr="00161302" w:rsidTr="00FF08E3">
        <w:trPr>
          <w:cantSplit/>
          <w:trHeight w:val="170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  <w:lang w:val="en-US"/>
              </w:rPr>
            </w:pPr>
            <w:proofErr w:type="spellStart"/>
            <w:proofErr w:type="gramStart"/>
            <w:r w:rsidRPr="00161302">
              <w:rPr>
                <w:rFonts w:cs="Times New Roman"/>
                <w:sz w:val="20"/>
              </w:rPr>
              <w:t>teluretos</w:t>
            </w:r>
            <w:proofErr w:type="spellEnd"/>
            <w:proofErr w:type="gramEnd"/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59C3" w:rsidRPr="00161302" w:rsidRDefault="00A459C3" w:rsidP="00FF08E3">
            <w:pPr>
              <w:pStyle w:val="PPOTexto"/>
              <w:spacing w:line="240" w:lineRule="auto"/>
              <w:rPr>
                <w:rFonts w:cs="Times New Roman"/>
                <w:sz w:val="20"/>
              </w:rPr>
            </w:pPr>
            <w:proofErr w:type="gramStart"/>
            <w:r w:rsidRPr="00161302">
              <w:rPr>
                <w:rFonts w:cs="Times New Roman"/>
                <w:sz w:val="20"/>
              </w:rPr>
              <w:t>redutores</w:t>
            </w:r>
            <w:proofErr w:type="gramEnd"/>
            <w:r w:rsidRPr="00161302">
              <w:rPr>
                <w:rFonts w:cs="Times New Roman"/>
                <w:sz w:val="20"/>
              </w:rPr>
              <w:t xml:space="preserve"> {4} (geram </w:t>
            </w:r>
            <w:proofErr w:type="spellStart"/>
            <w:r w:rsidRPr="00161302">
              <w:rPr>
                <w:rFonts w:cs="Times New Roman"/>
                <w:sz w:val="20"/>
              </w:rPr>
              <w:t>telureto</w:t>
            </w:r>
            <w:proofErr w:type="spellEnd"/>
            <w:r w:rsidRPr="00161302">
              <w:rPr>
                <w:rFonts w:cs="Times New Roman"/>
                <w:sz w:val="20"/>
              </w:rPr>
              <w:t xml:space="preserve"> de hidrogênio) {4}</w:t>
            </w:r>
          </w:p>
        </w:tc>
      </w:tr>
    </w:tbl>
    <w:p w:rsidR="00A459C3" w:rsidRDefault="00A459C3" w:rsidP="00A459C3">
      <w:pPr>
        <w:pStyle w:val="PPOTexto"/>
      </w:pPr>
      <w:r>
        <w:t>*Hidrolisável neste contexto refere-se a materiais que reagem com a água.</w:t>
      </w:r>
    </w:p>
    <w:p w:rsidR="00A459C3" w:rsidRDefault="00A459C3">
      <w:pPr>
        <w:spacing w:after="200"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br w:type="page"/>
      </w:r>
    </w:p>
    <w:tbl>
      <w:tblPr>
        <w:tblStyle w:val="Tabelacomgrade"/>
        <w:tblW w:w="10864" w:type="dxa"/>
        <w:jc w:val="center"/>
        <w:tblLook w:val="04A0" w:firstRow="1" w:lastRow="0" w:firstColumn="1" w:lastColumn="0" w:noHBand="0" w:noVBand="1"/>
      </w:tblPr>
      <w:tblGrid>
        <w:gridCol w:w="735"/>
        <w:gridCol w:w="366"/>
        <w:gridCol w:w="80"/>
        <w:gridCol w:w="566"/>
        <w:gridCol w:w="637"/>
        <w:gridCol w:w="387"/>
        <w:gridCol w:w="615"/>
        <w:gridCol w:w="960"/>
        <w:gridCol w:w="3693"/>
        <w:gridCol w:w="2825"/>
      </w:tblGrid>
      <w:tr w:rsidR="00466464" w:rsidTr="00A42DE5">
        <w:trPr>
          <w:trHeight w:val="261"/>
          <w:jc w:val="center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</w:rPr>
            </w:pPr>
            <w:r>
              <w:rPr>
                <w:rFonts w:ascii="Garamond" w:hAnsi="Garamond" w:cs="Tahoma"/>
                <w:sz w:val="24"/>
                <w:szCs w:val="24"/>
              </w:rPr>
              <w:lastRenderedPageBreak/>
              <w:br w:type="page"/>
            </w:r>
            <w:r>
              <w:rPr>
                <w:b/>
              </w:rPr>
              <w:t>CONTROLE DE ALTERAÇÕES E APROVAÇÕES</w:t>
            </w:r>
          </w:p>
        </w:tc>
      </w:tr>
      <w:tr w:rsidR="00466464" w:rsidTr="00A42DE5">
        <w:trPr>
          <w:trHeight w:val="61"/>
          <w:jc w:val="center"/>
        </w:trPr>
        <w:tc>
          <w:tcPr>
            <w:tcW w:w="10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</w:p>
        </w:tc>
      </w:tr>
      <w:tr w:rsidR="00466464" w:rsidTr="00A42DE5">
        <w:trPr>
          <w:trHeight w:val="135"/>
          <w:jc w:val="center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 LIST PARA APROVAÇÃO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66464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proofErr w:type="gramStart"/>
            <w:r w:rsidRPr="0047170D">
              <w:rPr>
                <w:b/>
                <w:sz w:val="12"/>
                <w:szCs w:val="16"/>
              </w:rPr>
              <w:t>,(</w:t>
            </w:r>
            <w:proofErr w:type="gramEnd"/>
            <w:r w:rsidRPr="0047170D">
              <w:rPr>
                <w:b/>
                <w:sz w:val="12"/>
                <w:szCs w:val="16"/>
              </w:rPr>
              <w:t xml:space="preserve">S) SIM, </w:t>
            </w:r>
          </w:p>
          <w:p w:rsidR="00466464" w:rsidRPr="0047170D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7170D">
              <w:rPr>
                <w:b/>
                <w:sz w:val="12"/>
                <w:szCs w:val="16"/>
              </w:rPr>
              <w:t xml:space="preserve">(N) NÃO </w:t>
            </w:r>
          </w:p>
          <w:p w:rsidR="00466464" w:rsidRPr="0047170D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7170D">
              <w:rPr>
                <w:b/>
                <w:sz w:val="12"/>
                <w:szCs w:val="16"/>
              </w:rPr>
              <w:t xml:space="preserve"> (NA) NÃO SE APLICA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66464" w:rsidRPr="0047170D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7170D">
              <w:rPr>
                <w:b/>
                <w:sz w:val="12"/>
                <w:szCs w:val="16"/>
              </w:rPr>
              <w:t>RESPONSÁVEL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ATUALIZADO NÚMERO DA REVISÃO?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ATUALIZADA DATA DE EMISSÃO?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REGISTRADO AS ALTERAÇÕES NO HISTÓRICO?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RETIRADO DE USO DOCUMENTOS COM REVISÃO OBSOLETA?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47170D" w:rsidRDefault="00466464" w:rsidP="00B16252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FINALIZADOS/FECHADOS OS REGISTROS EM USO ORIUNDOS DESSE DOCUMENTO?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66464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proofErr w:type="gramStart"/>
            <w:r w:rsidRPr="0047170D">
              <w:rPr>
                <w:b/>
                <w:sz w:val="12"/>
                <w:szCs w:val="16"/>
              </w:rPr>
              <w:t>,(</w:t>
            </w:r>
            <w:proofErr w:type="gramEnd"/>
            <w:r w:rsidRPr="0047170D">
              <w:rPr>
                <w:b/>
                <w:sz w:val="12"/>
                <w:szCs w:val="16"/>
              </w:rPr>
              <w:t>S) SIM,</w:t>
            </w:r>
          </w:p>
          <w:p w:rsidR="00466464" w:rsidRPr="0047170D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7170D">
              <w:rPr>
                <w:b/>
                <w:sz w:val="12"/>
                <w:szCs w:val="16"/>
              </w:rPr>
              <w:t>(N) NÃO</w:t>
            </w:r>
          </w:p>
          <w:p w:rsidR="00466464" w:rsidRPr="0047170D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7170D">
              <w:rPr>
                <w:b/>
                <w:sz w:val="12"/>
                <w:szCs w:val="16"/>
              </w:rPr>
              <w:t>(NA) NÃO SE APLICA</w:t>
            </w:r>
          </w:p>
        </w:tc>
        <w:tc>
          <w:tcPr>
            <w:tcW w:w="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66464" w:rsidRPr="0047170D" w:rsidRDefault="00466464" w:rsidP="00B16252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7170D">
              <w:rPr>
                <w:b/>
                <w:sz w:val="12"/>
                <w:szCs w:val="16"/>
              </w:rPr>
              <w:t>GERENTE DA QUALIDADE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jc w:val="both"/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RECOLHIDAS AS CÓPIAS CONTROLADAS?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REALIZADA A REVISÃO PELO SGQ?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EMITIDA NOVAS CÓPIAS CONTROLADAS?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APRESENTADO OS REGISTROS FINALIZADOS/FECHADOS?</w:t>
            </w:r>
          </w:p>
        </w:tc>
      </w:tr>
      <w:tr w:rsidR="00A42DE5" w:rsidRPr="0047170D" w:rsidTr="00A42DE5">
        <w:trPr>
          <w:cantSplit/>
          <w:trHeight w:val="244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464" w:rsidRPr="0047170D" w:rsidRDefault="00466464" w:rsidP="00B16252">
            <w:pPr>
              <w:rPr>
                <w:b/>
                <w:sz w:val="14"/>
                <w:szCs w:val="16"/>
              </w:rPr>
            </w:pPr>
            <w:r w:rsidRPr="0047170D">
              <w:rPr>
                <w:b/>
                <w:sz w:val="14"/>
                <w:szCs w:val="16"/>
              </w:rPr>
              <w:t>DOCUMENTO REGISTRADO NA LISTA MESTRA?</w:t>
            </w:r>
          </w:p>
        </w:tc>
      </w:tr>
      <w:tr w:rsidR="00466464" w:rsidRPr="00B60490" w:rsidTr="00A42DE5">
        <w:trPr>
          <w:trHeight w:val="120"/>
          <w:jc w:val="center"/>
        </w:trPr>
        <w:tc>
          <w:tcPr>
            <w:tcW w:w="10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6464" w:rsidRPr="00B60490" w:rsidRDefault="00466464" w:rsidP="00B1625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2DE5" w:rsidTr="00A42DE5">
        <w:trPr>
          <w:trHeight w:val="392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Nº. DA REVISÃO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EMISSÃO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PÁGINA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HISTÓRICO DAS ALTERAÇÕES DA REVISÃO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RESPONSÁVEL PELA REVISÃO</w:t>
            </w:r>
          </w:p>
        </w:tc>
      </w:tr>
      <w:tr w:rsidR="00A42DE5" w:rsidTr="00A42DE5">
        <w:trPr>
          <w:trHeight w:val="34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64" w:rsidRDefault="00466464" w:rsidP="00B16252">
            <w:pPr>
              <w:jc w:val="center"/>
            </w:pPr>
            <w:r>
              <w:t>000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64" w:rsidRDefault="00466464" w:rsidP="00B16252">
            <w:pPr>
              <w:jc w:val="center"/>
            </w:pPr>
            <w:r>
              <w:t>30/04/2018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64" w:rsidRDefault="00466464" w:rsidP="00B1625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64" w:rsidRDefault="00466464" w:rsidP="00B16252">
            <w:pPr>
              <w:jc w:val="center"/>
            </w:pPr>
            <w:r>
              <w:t>-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64" w:rsidRDefault="00466464" w:rsidP="00B16252">
            <w:r>
              <w:t>Primeira emissão do documento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64" w:rsidRDefault="00466464" w:rsidP="00B16252">
            <w:pPr>
              <w:jc w:val="center"/>
            </w:pPr>
            <w:r>
              <w:t>Thiago Farias da Silva</w:t>
            </w:r>
          </w:p>
        </w:tc>
      </w:tr>
      <w:tr w:rsidR="006816B4" w:rsidTr="00A42DE5">
        <w:trPr>
          <w:trHeight w:val="34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B4" w:rsidRDefault="006816B4" w:rsidP="00B16252">
            <w:pPr>
              <w:jc w:val="center"/>
            </w:pPr>
            <w:r>
              <w:t>001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B4" w:rsidRDefault="00160CD9" w:rsidP="00B16252">
            <w:pPr>
              <w:jc w:val="center"/>
            </w:pPr>
            <w:r>
              <w:t>15</w:t>
            </w:r>
            <w:r w:rsidR="006816B4">
              <w:t>/06/2018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B4" w:rsidRDefault="006816B4" w:rsidP="00B16252">
            <w:pPr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B4" w:rsidRDefault="006816B4" w:rsidP="00B16252">
            <w:pPr>
              <w:jc w:val="center"/>
            </w:pPr>
            <w:r>
              <w:t>-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B4" w:rsidRDefault="006816B4" w:rsidP="00B16252">
            <w:r>
              <w:t xml:space="preserve">Alterações das novas siglas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B4" w:rsidRDefault="001C5BBF" w:rsidP="00B16252">
            <w:pPr>
              <w:jc w:val="center"/>
            </w:pPr>
            <w:r>
              <w:t>Thiago Farias da Silva</w:t>
            </w:r>
          </w:p>
        </w:tc>
      </w:tr>
      <w:tr w:rsidR="001C5BBF" w:rsidTr="00A42DE5">
        <w:trPr>
          <w:trHeight w:val="34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F" w:rsidRDefault="001C5BBF" w:rsidP="00B16252">
            <w:pPr>
              <w:jc w:val="center"/>
            </w:pPr>
            <w:r>
              <w:t>002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F" w:rsidRDefault="001C5BBF" w:rsidP="00B16252">
            <w:pPr>
              <w:jc w:val="center"/>
            </w:pPr>
            <w:r>
              <w:t>01/02/2019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F" w:rsidRDefault="001C5BBF" w:rsidP="00B16252">
            <w:pPr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F" w:rsidRDefault="001C5BBF" w:rsidP="00B16252">
            <w:pPr>
              <w:jc w:val="center"/>
            </w:pPr>
            <w:r>
              <w:t>Todos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F" w:rsidRDefault="001C5BBF" w:rsidP="00B16252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F" w:rsidRDefault="001C5BBF" w:rsidP="00B16252">
            <w:pPr>
              <w:jc w:val="center"/>
            </w:pPr>
            <w:r>
              <w:t>Thiago Farias da Silva</w:t>
            </w:r>
          </w:p>
        </w:tc>
      </w:tr>
      <w:tr w:rsidR="00466464" w:rsidTr="00A42DE5">
        <w:trPr>
          <w:trHeight w:val="244"/>
          <w:jc w:val="center"/>
        </w:trPr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</w:rPr>
            </w:pPr>
            <w:r>
              <w:rPr>
                <w:b/>
              </w:rPr>
              <w:t>Código Modificações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</w:rPr>
            </w:pPr>
            <w:r>
              <w:rPr>
                <w:b/>
              </w:rPr>
              <w:t>(A) Alteração; (I) Inclusão; (E) Exclusão.</w:t>
            </w:r>
          </w:p>
        </w:tc>
      </w:tr>
      <w:tr w:rsidR="00466464" w:rsidTr="00A42DE5">
        <w:trPr>
          <w:trHeight w:val="244"/>
          <w:jc w:val="center"/>
        </w:trPr>
        <w:tc>
          <w:tcPr>
            <w:tcW w:w="2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6464" w:rsidRDefault="00466464" w:rsidP="00B16252">
            <w:pPr>
              <w:jc w:val="center"/>
              <w:rPr>
                <w:b/>
              </w:rPr>
            </w:pP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6464" w:rsidRDefault="00466464" w:rsidP="00B16252">
            <w:pPr>
              <w:jc w:val="center"/>
              <w:rPr>
                <w:b/>
              </w:rPr>
            </w:pPr>
          </w:p>
        </w:tc>
      </w:tr>
      <w:tr w:rsidR="00466464" w:rsidTr="00A42DE5">
        <w:trPr>
          <w:trHeight w:val="244"/>
          <w:jc w:val="center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</w:rPr>
            </w:pPr>
            <w:r>
              <w:rPr>
                <w:b/>
              </w:rPr>
              <w:t>ANÁLISE CRÍTICA E APROVAÇÃO</w:t>
            </w:r>
          </w:p>
        </w:tc>
      </w:tr>
      <w:tr w:rsidR="00466464" w:rsidTr="00A42DE5">
        <w:trPr>
          <w:trHeight w:val="629"/>
          <w:jc w:val="center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</w:rPr>
            </w:pPr>
            <w:r>
              <w:rPr>
                <w:b/>
              </w:rPr>
              <w:t>ELABORAÇÃO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Default="00466464" w:rsidP="00B16252">
            <w:pPr>
              <w:jc w:val="center"/>
              <w:rPr>
                <w:b/>
              </w:rPr>
            </w:pPr>
          </w:p>
        </w:tc>
      </w:tr>
      <w:tr w:rsidR="00466464" w:rsidTr="00A42DE5">
        <w:trPr>
          <w:trHeight w:val="629"/>
          <w:jc w:val="center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6464" w:rsidRDefault="00466464" w:rsidP="00B16252">
            <w:pPr>
              <w:jc w:val="center"/>
              <w:rPr>
                <w:b/>
              </w:rPr>
            </w:pPr>
            <w:r>
              <w:rPr>
                <w:b/>
              </w:rPr>
              <w:t>REVISÃO E APROVAÇÃO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464" w:rsidRDefault="00466464" w:rsidP="00B16252">
            <w:pPr>
              <w:jc w:val="center"/>
              <w:rPr>
                <w:b/>
              </w:rPr>
            </w:pPr>
          </w:p>
        </w:tc>
      </w:tr>
    </w:tbl>
    <w:p w:rsidR="00970906" w:rsidRDefault="00970906" w:rsidP="00552E95">
      <w:pPr>
        <w:spacing w:line="360" w:lineRule="auto"/>
        <w:jc w:val="both"/>
        <w:rPr>
          <w:rFonts w:ascii="Garamond" w:hAnsi="Garamond" w:cs="Tahoma"/>
          <w:sz w:val="24"/>
          <w:szCs w:val="24"/>
        </w:rPr>
      </w:pPr>
    </w:p>
    <w:p w:rsidR="00AC366A" w:rsidRDefault="00AC366A" w:rsidP="00552E95">
      <w:pPr>
        <w:spacing w:line="360" w:lineRule="auto"/>
        <w:jc w:val="both"/>
        <w:rPr>
          <w:rFonts w:ascii="Garamond" w:hAnsi="Garamond" w:cs="Tahoma"/>
          <w:sz w:val="24"/>
          <w:szCs w:val="24"/>
        </w:rPr>
      </w:pPr>
    </w:p>
    <w:p w:rsidR="00543ADC" w:rsidRPr="00B03342" w:rsidRDefault="00543ADC" w:rsidP="00A324AA">
      <w:pPr>
        <w:pStyle w:val="Ttulo"/>
        <w:spacing w:line="360" w:lineRule="auto"/>
        <w:ind w:right="-568"/>
        <w:jc w:val="both"/>
      </w:pPr>
    </w:p>
    <w:sectPr w:rsidR="00543ADC" w:rsidRPr="00B03342" w:rsidSect="00A42DE5">
      <w:headerReference w:type="default" r:id="rId14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536EE8" w15:done="0"/>
  <w15:commentEx w15:paraId="5AD284D5" w15:done="0"/>
  <w15:commentEx w15:paraId="593ED551" w15:done="0"/>
  <w15:commentEx w15:paraId="5A8A5A84" w15:done="0"/>
  <w15:commentEx w15:paraId="08BF6E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33" w:rsidRDefault="00AB3833" w:rsidP="00EF6EB7">
      <w:r>
        <w:separator/>
      </w:r>
    </w:p>
  </w:endnote>
  <w:endnote w:type="continuationSeparator" w:id="0">
    <w:p w:rsidR="00AB3833" w:rsidRDefault="00AB3833" w:rsidP="00EF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33" w:rsidRDefault="00AB3833" w:rsidP="00EF6EB7">
      <w:r>
        <w:separator/>
      </w:r>
    </w:p>
  </w:footnote>
  <w:footnote w:type="continuationSeparator" w:id="0">
    <w:p w:rsidR="00AB3833" w:rsidRDefault="00AB3833" w:rsidP="00EF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BF" w:rsidRDefault="001C5BBF" w:rsidP="001C5BBF">
    <w:pPr>
      <w:pStyle w:val="Cabealho"/>
    </w:pPr>
    <w:r>
      <w:rPr>
        <w:noProof/>
      </w:rPr>
      <w:drawing>
        <wp:inline distT="0" distB="0" distL="0" distR="0" wp14:anchorId="3837DD62" wp14:editId="5234CEB2">
          <wp:extent cx="5581015" cy="534670"/>
          <wp:effectExtent l="0" t="0" r="63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99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07"/>
      <w:gridCol w:w="1709"/>
      <w:gridCol w:w="1709"/>
      <w:gridCol w:w="1709"/>
    </w:tblGrid>
    <w:tr w:rsidR="001C5BBF" w:rsidTr="004D2603">
      <w:trPr>
        <w:trHeight w:val="178"/>
        <w:jc w:val="center"/>
      </w:trPr>
      <w:tc>
        <w:tcPr>
          <w:tcW w:w="124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1C5BBF" w:rsidRDefault="001C5BBF" w:rsidP="004D2603">
          <w:pP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eastAsia="en-US"/>
            </w:rPr>
            <w:t>IT-DDL-048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1C5BBF" w:rsidRDefault="001C5BBF" w:rsidP="004D2603">
          <w:pP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Emissão: Fev.19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1C5BBF" w:rsidRDefault="001C5BBF" w:rsidP="004D2603">
          <w:pP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Revisão: 002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1C5BBF" w:rsidRDefault="001C5BBF" w:rsidP="004D2603">
          <w:pP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eastAsia="en-US"/>
            </w:rPr>
            <w:t>1</w:t>
          </w:r>
          <w:r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de </w:t>
          </w:r>
          <w:r>
            <w:rPr>
              <w:rFonts w:ascii="Arial" w:hAnsi="Arial" w:cs="Arial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Arial" w:hAnsi="Arial" w:cs="Arial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eastAsia="en-US"/>
            </w:rPr>
            <w:t>8</w:t>
          </w:r>
          <w:r>
            <w:rPr>
              <w:rFonts w:ascii="Arial" w:hAnsi="Arial" w:cs="Arial"/>
              <w:sz w:val="16"/>
              <w:szCs w:val="16"/>
              <w:lang w:eastAsia="en-US"/>
            </w:rPr>
            <w:fldChar w:fldCharType="end"/>
          </w:r>
        </w:p>
      </w:tc>
    </w:tr>
  </w:tbl>
  <w:p w:rsidR="00DB05B7" w:rsidRDefault="00DB05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59"/>
    <w:multiLevelType w:val="hybridMultilevel"/>
    <w:tmpl w:val="24564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1718"/>
    <w:multiLevelType w:val="hybridMultilevel"/>
    <w:tmpl w:val="4F8AB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173"/>
    <w:multiLevelType w:val="multilevel"/>
    <w:tmpl w:val="6832CCB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A946140"/>
    <w:multiLevelType w:val="hybridMultilevel"/>
    <w:tmpl w:val="88F6A8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016C"/>
    <w:multiLevelType w:val="hybridMultilevel"/>
    <w:tmpl w:val="998C35AA"/>
    <w:lvl w:ilvl="0" w:tplc="EE3E6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2298"/>
    <w:multiLevelType w:val="hybridMultilevel"/>
    <w:tmpl w:val="4B2EB3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42BF6"/>
    <w:multiLevelType w:val="hybridMultilevel"/>
    <w:tmpl w:val="95BAA4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0AE"/>
    <w:multiLevelType w:val="multilevel"/>
    <w:tmpl w:val="2B3884B2"/>
    <w:lvl w:ilvl="0">
      <w:start w:val="1"/>
      <w:numFmt w:val="decimal"/>
      <w:pStyle w:val="POP1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decimal"/>
      <w:pStyle w:val="POP2"/>
      <w:lvlText w:val="%1.%2."/>
      <w:lvlJc w:val="left"/>
      <w:pPr>
        <w:ind w:left="1553" w:hanging="360"/>
      </w:pPr>
      <w:rPr>
        <w:rFonts w:hint="default"/>
      </w:rPr>
    </w:lvl>
    <w:lvl w:ilvl="2">
      <w:start w:val="1"/>
      <w:numFmt w:val="decimal"/>
      <w:pStyle w:val="POP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8">
    <w:nsid w:val="3B52740D"/>
    <w:multiLevelType w:val="hybridMultilevel"/>
    <w:tmpl w:val="F3663E8E"/>
    <w:lvl w:ilvl="0" w:tplc="0416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6CC46C0"/>
    <w:multiLevelType w:val="hybridMultilevel"/>
    <w:tmpl w:val="DA626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A3A7E"/>
    <w:multiLevelType w:val="hybridMultilevel"/>
    <w:tmpl w:val="16CCE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F7777"/>
    <w:multiLevelType w:val="hybridMultilevel"/>
    <w:tmpl w:val="D7768AAC"/>
    <w:lvl w:ilvl="0" w:tplc="4E8007F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2E8E"/>
    <w:multiLevelType w:val="hybridMultilevel"/>
    <w:tmpl w:val="D01072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92DC2"/>
    <w:multiLevelType w:val="hybridMultilevel"/>
    <w:tmpl w:val="DA626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F448C"/>
    <w:multiLevelType w:val="hybridMultilevel"/>
    <w:tmpl w:val="FB6E74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B18EA"/>
    <w:multiLevelType w:val="hybridMultilevel"/>
    <w:tmpl w:val="1FC04A58"/>
    <w:lvl w:ilvl="0" w:tplc="04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C3577C2"/>
    <w:multiLevelType w:val="hybridMultilevel"/>
    <w:tmpl w:val="27AEA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34435"/>
    <w:multiLevelType w:val="hybridMultilevel"/>
    <w:tmpl w:val="078E2B5E"/>
    <w:lvl w:ilvl="0" w:tplc="4E8007F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3137"/>
    <w:multiLevelType w:val="hybridMultilevel"/>
    <w:tmpl w:val="05DAB9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4A5B"/>
    <w:multiLevelType w:val="hybridMultilevel"/>
    <w:tmpl w:val="63A4EB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4"/>
  </w:num>
  <w:num w:numId="7">
    <w:abstractNumId w:val="1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15"/>
  </w:num>
  <w:num w:numId="17">
    <w:abstractNumId w:val="19"/>
  </w:num>
  <w:num w:numId="18">
    <w:abstractNumId w:val="18"/>
  </w:num>
  <w:num w:numId="19">
    <w:abstractNumId w:val="8"/>
  </w:num>
  <w:num w:numId="20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daf">
    <w15:presenceInfo w15:providerId="None" w15:userId="Id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B7"/>
    <w:rsid w:val="00000A1E"/>
    <w:rsid w:val="00015BC4"/>
    <w:rsid w:val="00034C58"/>
    <w:rsid w:val="00053F1A"/>
    <w:rsid w:val="00062D34"/>
    <w:rsid w:val="00064C83"/>
    <w:rsid w:val="000712F1"/>
    <w:rsid w:val="00071F88"/>
    <w:rsid w:val="000811CB"/>
    <w:rsid w:val="00084FF9"/>
    <w:rsid w:val="000B424A"/>
    <w:rsid w:val="000F065A"/>
    <w:rsid w:val="00104067"/>
    <w:rsid w:val="0011026F"/>
    <w:rsid w:val="00122244"/>
    <w:rsid w:val="00135FA0"/>
    <w:rsid w:val="00140475"/>
    <w:rsid w:val="00160CD9"/>
    <w:rsid w:val="0016168D"/>
    <w:rsid w:val="001905BA"/>
    <w:rsid w:val="00192122"/>
    <w:rsid w:val="0019387F"/>
    <w:rsid w:val="001B43D0"/>
    <w:rsid w:val="001B51A2"/>
    <w:rsid w:val="001C1A77"/>
    <w:rsid w:val="001C5BBF"/>
    <w:rsid w:val="001D0AEB"/>
    <w:rsid w:val="001D6952"/>
    <w:rsid w:val="001E2A6A"/>
    <w:rsid w:val="001F2487"/>
    <w:rsid w:val="001F63AB"/>
    <w:rsid w:val="00210322"/>
    <w:rsid w:val="00211963"/>
    <w:rsid w:val="00214079"/>
    <w:rsid w:val="00224EA5"/>
    <w:rsid w:val="00231454"/>
    <w:rsid w:val="002326ED"/>
    <w:rsid w:val="0025143B"/>
    <w:rsid w:val="00251F0B"/>
    <w:rsid w:val="00252488"/>
    <w:rsid w:val="00262BFE"/>
    <w:rsid w:val="0026412E"/>
    <w:rsid w:val="00267430"/>
    <w:rsid w:val="00275E36"/>
    <w:rsid w:val="0028575B"/>
    <w:rsid w:val="00293655"/>
    <w:rsid w:val="0029646F"/>
    <w:rsid w:val="002B192F"/>
    <w:rsid w:val="002C38A2"/>
    <w:rsid w:val="002D1387"/>
    <w:rsid w:val="002D7A80"/>
    <w:rsid w:val="002F4F01"/>
    <w:rsid w:val="002F5FBC"/>
    <w:rsid w:val="00300831"/>
    <w:rsid w:val="0031307B"/>
    <w:rsid w:val="00313839"/>
    <w:rsid w:val="003242CC"/>
    <w:rsid w:val="00324970"/>
    <w:rsid w:val="00340E72"/>
    <w:rsid w:val="0034467D"/>
    <w:rsid w:val="00345DA4"/>
    <w:rsid w:val="00367281"/>
    <w:rsid w:val="003739BD"/>
    <w:rsid w:val="00376336"/>
    <w:rsid w:val="003A2224"/>
    <w:rsid w:val="003A76B1"/>
    <w:rsid w:val="003B0C30"/>
    <w:rsid w:val="003B19D7"/>
    <w:rsid w:val="003B47C1"/>
    <w:rsid w:val="003B5914"/>
    <w:rsid w:val="003C2E5F"/>
    <w:rsid w:val="003D357E"/>
    <w:rsid w:val="003E2CB6"/>
    <w:rsid w:val="00401328"/>
    <w:rsid w:val="00434FA6"/>
    <w:rsid w:val="00436256"/>
    <w:rsid w:val="00443E49"/>
    <w:rsid w:val="00447623"/>
    <w:rsid w:val="00452F11"/>
    <w:rsid w:val="004571D8"/>
    <w:rsid w:val="00466464"/>
    <w:rsid w:val="00473354"/>
    <w:rsid w:val="004837B8"/>
    <w:rsid w:val="00495EF1"/>
    <w:rsid w:val="004971FA"/>
    <w:rsid w:val="004A299F"/>
    <w:rsid w:val="004A4768"/>
    <w:rsid w:val="004B0FDD"/>
    <w:rsid w:val="004B7141"/>
    <w:rsid w:val="004C304C"/>
    <w:rsid w:val="004D6A32"/>
    <w:rsid w:val="004E157F"/>
    <w:rsid w:val="00506D34"/>
    <w:rsid w:val="00513D29"/>
    <w:rsid w:val="00515450"/>
    <w:rsid w:val="00520D6A"/>
    <w:rsid w:val="005248C1"/>
    <w:rsid w:val="005330FE"/>
    <w:rsid w:val="0053330E"/>
    <w:rsid w:val="005342CD"/>
    <w:rsid w:val="00540AFA"/>
    <w:rsid w:val="00543ADC"/>
    <w:rsid w:val="00546AAE"/>
    <w:rsid w:val="00552E95"/>
    <w:rsid w:val="00566052"/>
    <w:rsid w:val="00567BD7"/>
    <w:rsid w:val="00571B53"/>
    <w:rsid w:val="00574079"/>
    <w:rsid w:val="00584617"/>
    <w:rsid w:val="0059475B"/>
    <w:rsid w:val="005966DA"/>
    <w:rsid w:val="00597B4D"/>
    <w:rsid w:val="005C5E81"/>
    <w:rsid w:val="005D712D"/>
    <w:rsid w:val="005E6447"/>
    <w:rsid w:val="005F7C17"/>
    <w:rsid w:val="00603FB8"/>
    <w:rsid w:val="00607345"/>
    <w:rsid w:val="00607C9F"/>
    <w:rsid w:val="00610D4A"/>
    <w:rsid w:val="00626DDD"/>
    <w:rsid w:val="006361EF"/>
    <w:rsid w:val="00654E75"/>
    <w:rsid w:val="00661416"/>
    <w:rsid w:val="0066414F"/>
    <w:rsid w:val="00670C6D"/>
    <w:rsid w:val="0067637C"/>
    <w:rsid w:val="006811E5"/>
    <w:rsid w:val="00681458"/>
    <w:rsid w:val="006816B4"/>
    <w:rsid w:val="0068381B"/>
    <w:rsid w:val="00686E9E"/>
    <w:rsid w:val="006B6EA7"/>
    <w:rsid w:val="006C25A4"/>
    <w:rsid w:val="006C31EF"/>
    <w:rsid w:val="006D0C89"/>
    <w:rsid w:val="006D7F01"/>
    <w:rsid w:val="006E5052"/>
    <w:rsid w:val="006E5BEE"/>
    <w:rsid w:val="0070087F"/>
    <w:rsid w:val="00701B9C"/>
    <w:rsid w:val="00705F42"/>
    <w:rsid w:val="0071730A"/>
    <w:rsid w:val="00722084"/>
    <w:rsid w:val="00731F3E"/>
    <w:rsid w:val="0074414A"/>
    <w:rsid w:val="00744E5C"/>
    <w:rsid w:val="00752C83"/>
    <w:rsid w:val="00757097"/>
    <w:rsid w:val="0076379E"/>
    <w:rsid w:val="007702B5"/>
    <w:rsid w:val="00784156"/>
    <w:rsid w:val="00785B5F"/>
    <w:rsid w:val="007A6ED6"/>
    <w:rsid w:val="007C10E0"/>
    <w:rsid w:val="007D308A"/>
    <w:rsid w:val="007D6A68"/>
    <w:rsid w:val="007D767A"/>
    <w:rsid w:val="007D7DFB"/>
    <w:rsid w:val="007E2657"/>
    <w:rsid w:val="008001BE"/>
    <w:rsid w:val="00803703"/>
    <w:rsid w:val="00817FAA"/>
    <w:rsid w:val="00834885"/>
    <w:rsid w:val="008459BA"/>
    <w:rsid w:val="00845B40"/>
    <w:rsid w:val="00846654"/>
    <w:rsid w:val="0085142E"/>
    <w:rsid w:val="008522CE"/>
    <w:rsid w:val="008633C7"/>
    <w:rsid w:val="008643D6"/>
    <w:rsid w:val="008713B7"/>
    <w:rsid w:val="0087467C"/>
    <w:rsid w:val="008865BA"/>
    <w:rsid w:val="008964E2"/>
    <w:rsid w:val="008A17E4"/>
    <w:rsid w:val="008A5031"/>
    <w:rsid w:val="008B7CA6"/>
    <w:rsid w:val="008C19C3"/>
    <w:rsid w:val="008D05D1"/>
    <w:rsid w:val="008E152A"/>
    <w:rsid w:val="008F0FEC"/>
    <w:rsid w:val="008F6C7F"/>
    <w:rsid w:val="00903FBA"/>
    <w:rsid w:val="009110C8"/>
    <w:rsid w:val="0093064C"/>
    <w:rsid w:val="009544AA"/>
    <w:rsid w:val="00960153"/>
    <w:rsid w:val="009628A6"/>
    <w:rsid w:val="00970906"/>
    <w:rsid w:val="009770C1"/>
    <w:rsid w:val="00981F0D"/>
    <w:rsid w:val="00983CE3"/>
    <w:rsid w:val="0098452F"/>
    <w:rsid w:val="00986CFC"/>
    <w:rsid w:val="009921E9"/>
    <w:rsid w:val="009B56DB"/>
    <w:rsid w:val="009C11AA"/>
    <w:rsid w:val="009C1DCC"/>
    <w:rsid w:val="009C33E8"/>
    <w:rsid w:val="009C39F1"/>
    <w:rsid w:val="009E266E"/>
    <w:rsid w:val="009F2A67"/>
    <w:rsid w:val="00A0043A"/>
    <w:rsid w:val="00A030C0"/>
    <w:rsid w:val="00A12836"/>
    <w:rsid w:val="00A324AA"/>
    <w:rsid w:val="00A37924"/>
    <w:rsid w:val="00A42DE5"/>
    <w:rsid w:val="00A459C3"/>
    <w:rsid w:val="00A74354"/>
    <w:rsid w:val="00A96A32"/>
    <w:rsid w:val="00AA07A1"/>
    <w:rsid w:val="00AA4080"/>
    <w:rsid w:val="00AB12BA"/>
    <w:rsid w:val="00AB3833"/>
    <w:rsid w:val="00AB682B"/>
    <w:rsid w:val="00AC366A"/>
    <w:rsid w:val="00AD4E7F"/>
    <w:rsid w:val="00AD5618"/>
    <w:rsid w:val="00B03342"/>
    <w:rsid w:val="00B07CFC"/>
    <w:rsid w:val="00B21290"/>
    <w:rsid w:val="00B267BA"/>
    <w:rsid w:val="00B34294"/>
    <w:rsid w:val="00B351BF"/>
    <w:rsid w:val="00B36EF5"/>
    <w:rsid w:val="00B40ACD"/>
    <w:rsid w:val="00B43AC6"/>
    <w:rsid w:val="00B60CB4"/>
    <w:rsid w:val="00B61200"/>
    <w:rsid w:val="00B7634C"/>
    <w:rsid w:val="00B76680"/>
    <w:rsid w:val="00B90B2C"/>
    <w:rsid w:val="00B92B30"/>
    <w:rsid w:val="00BB0CE3"/>
    <w:rsid w:val="00BC107D"/>
    <w:rsid w:val="00BD4B8A"/>
    <w:rsid w:val="00BF2A63"/>
    <w:rsid w:val="00BF70A9"/>
    <w:rsid w:val="00C04894"/>
    <w:rsid w:val="00C169C5"/>
    <w:rsid w:val="00C16B35"/>
    <w:rsid w:val="00C20427"/>
    <w:rsid w:val="00C35F88"/>
    <w:rsid w:val="00C401E1"/>
    <w:rsid w:val="00C44C67"/>
    <w:rsid w:val="00C5392B"/>
    <w:rsid w:val="00C61FE8"/>
    <w:rsid w:val="00C723F4"/>
    <w:rsid w:val="00C80C3C"/>
    <w:rsid w:val="00C81440"/>
    <w:rsid w:val="00C92111"/>
    <w:rsid w:val="00CA07A2"/>
    <w:rsid w:val="00CC0F2E"/>
    <w:rsid w:val="00CC4B46"/>
    <w:rsid w:val="00CD47AC"/>
    <w:rsid w:val="00CD7477"/>
    <w:rsid w:val="00CE5D5C"/>
    <w:rsid w:val="00CF1602"/>
    <w:rsid w:val="00CF3F0A"/>
    <w:rsid w:val="00D04A08"/>
    <w:rsid w:val="00D125D8"/>
    <w:rsid w:val="00D2389A"/>
    <w:rsid w:val="00D25C84"/>
    <w:rsid w:val="00D32D40"/>
    <w:rsid w:val="00D3506B"/>
    <w:rsid w:val="00D403E0"/>
    <w:rsid w:val="00D518BE"/>
    <w:rsid w:val="00D574BF"/>
    <w:rsid w:val="00D60608"/>
    <w:rsid w:val="00D66789"/>
    <w:rsid w:val="00D9406B"/>
    <w:rsid w:val="00DA3D72"/>
    <w:rsid w:val="00DA6F16"/>
    <w:rsid w:val="00DB05B7"/>
    <w:rsid w:val="00DB4CDE"/>
    <w:rsid w:val="00DB54A7"/>
    <w:rsid w:val="00DB5AEE"/>
    <w:rsid w:val="00DE5B84"/>
    <w:rsid w:val="00DE6AE9"/>
    <w:rsid w:val="00E03880"/>
    <w:rsid w:val="00E30C33"/>
    <w:rsid w:val="00E36BE9"/>
    <w:rsid w:val="00E46C09"/>
    <w:rsid w:val="00E55599"/>
    <w:rsid w:val="00E55CB9"/>
    <w:rsid w:val="00E60B36"/>
    <w:rsid w:val="00E71F0F"/>
    <w:rsid w:val="00EA609F"/>
    <w:rsid w:val="00EC2E20"/>
    <w:rsid w:val="00ED155E"/>
    <w:rsid w:val="00ED37CB"/>
    <w:rsid w:val="00ED7773"/>
    <w:rsid w:val="00EE605B"/>
    <w:rsid w:val="00EF6EB7"/>
    <w:rsid w:val="00F06F46"/>
    <w:rsid w:val="00F1044C"/>
    <w:rsid w:val="00F2707B"/>
    <w:rsid w:val="00F302A0"/>
    <w:rsid w:val="00F46287"/>
    <w:rsid w:val="00F46FCF"/>
    <w:rsid w:val="00F52335"/>
    <w:rsid w:val="00F732C4"/>
    <w:rsid w:val="00F81017"/>
    <w:rsid w:val="00F85FE4"/>
    <w:rsid w:val="00F95698"/>
    <w:rsid w:val="00FA0898"/>
    <w:rsid w:val="00FA4076"/>
    <w:rsid w:val="00FC4A84"/>
    <w:rsid w:val="00FC6488"/>
    <w:rsid w:val="00FD17B9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637C"/>
    <w:pPr>
      <w:keepNext/>
      <w:jc w:val="center"/>
      <w:outlineLvl w:val="0"/>
    </w:pPr>
    <w:rPr>
      <w:rFonts w:ascii="Comic Sans MS" w:hAnsi="Comic Sans MS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6EB7"/>
    <w:pPr>
      <w:jc w:val="both"/>
    </w:pPr>
    <w:rPr>
      <w:rFonts w:ascii="Garamond" w:hAnsi="Garamond"/>
      <w:sz w:val="24"/>
    </w:rPr>
  </w:style>
  <w:style w:type="character" w:customStyle="1" w:styleId="Corpodetexto2Char">
    <w:name w:val="Corpo de texto 2 Char"/>
    <w:basedOn w:val="Fontepargpadro"/>
    <w:link w:val="Corpodetexto2"/>
    <w:rsid w:val="00EF6EB7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6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E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7637C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67637C"/>
    <w:pPr>
      <w:widowControl w:val="0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FA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13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A96A32"/>
    <w:pPr>
      <w:jc w:val="center"/>
    </w:pPr>
    <w:rPr>
      <w:rFonts w:ascii="Arial" w:hAnsi="Arial" w:cs="Arial"/>
      <w:sz w:val="28"/>
    </w:rPr>
  </w:style>
  <w:style w:type="character" w:customStyle="1" w:styleId="TtuloChar">
    <w:name w:val="Título Char"/>
    <w:basedOn w:val="Fontepargpadro"/>
    <w:link w:val="Ttulo"/>
    <w:rsid w:val="00A96A32"/>
    <w:rPr>
      <w:rFonts w:ascii="Arial" w:eastAsia="Times New Roman" w:hAnsi="Arial" w:cs="Arial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55E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155E"/>
    <w:rPr>
      <w:rFonts w:ascii="Calibri" w:eastAsia="Calibri" w:hAnsi="Calibri" w:cs="Times New Roman"/>
    </w:rPr>
  </w:style>
  <w:style w:type="paragraph" w:customStyle="1" w:styleId="POP1">
    <w:name w:val="POP1"/>
    <w:basedOn w:val="Ttulo1"/>
    <w:next w:val="Normal"/>
    <w:qFormat/>
    <w:rsid w:val="00A74354"/>
    <w:pPr>
      <w:numPr>
        <w:numId w:val="9"/>
      </w:numPr>
      <w:tabs>
        <w:tab w:val="left" w:pos="0"/>
        <w:tab w:val="left" w:pos="284"/>
        <w:tab w:val="left" w:pos="397"/>
        <w:tab w:val="left" w:pos="567"/>
      </w:tabs>
      <w:spacing w:after="120" w:line="360" w:lineRule="auto"/>
      <w:ind w:left="0" w:firstLine="0"/>
      <w:jc w:val="both"/>
    </w:pPr>
    <w:rPr>
      <w:rFonts w:ascii="Times New Roman" w:hAnsi="Times New Roman"/>
      <w:bCs/>
      <w:kern w:val="32"/>
      <w:szCs w:val="32"/>
    </w:rPr>
  </w:style>
  <w:style w:type="paragraph" w:customStyle="1" w:styleId="POP2">
    <w:name w:val="POP2"/>
    <w:basedOn w:val="Ttulo2"/>
    <w:next w:val="Normal"/>
    <w:qFormat/>
    <w:rsid w:val="00A74354"/>
    <w:pPr>
      <w:keepLines w:val="0"/>
      <w:numPr>
        <w:ilvl w:val="1"/>
        <w:numId w:val="9"/>
      </w:numPr>
      <w:tabs>
        <w:tab w:val="left" w:pos="0"/>
        <w:tab w:val="left" w:pos="284"/>
        <w:tab w:val="left" w:pos="397"/>
        <w:tab w:val="left" w:pos="567"/>
        <w:tab w:val="left" w:pos="851"/>
      </w:tabs>
      <w:spacing w:before="0" w:after="120" w:line="360" w:lineRule="auto"/>
      <w:ind w:left="0" w:firstLine="0"/>
    </w:pPr>
    <w:rPr>
      <w:rFonts w:ascii="Times New Roman" w:eastAsia="Times New Roman" w:hAnsi="Times New Roman" w:cs="Times New Roman"/>
      <w:bCs w:val="0"/>
      <w:color w:val="000000"/>
      <w:sz w:val="24"/>
      <w:szCs w:val="20"/>
    </w:rPr>
  </w:style>
  <w:style w:type="paragraph" w:customStyle="1" w:styleId="POP3">
    <w:name w:val="POP3"/>
    <w:basedOn w:val="POP1"/>
    <w:next w:val="Normal"/>
    <w:qFormat/>
    <w:rsid w:val="00A74354"/>
    <w:pPr>
      <w:numPr>
        <w:ilvl w:val="2"/>
      </w:numPr>
      <w:ind w:left="181" w:hanging="181"/>
    </w:pPr>
  </w:style>
  <w:style w:type="character" w:styleId="Forte">
    <w:name w:val="Strong"/>
    <w:basedOn w:val="Fontepargpadro"/>
    <w:uiPriority w:val="22"/>
    <w:qFormat/>
    <w:rsid w:val="00A74354"/>
    <w:rPr>
      <w:b/>
      <w:bCs/>
    </w:rPr>
  </w:style>
  <w:style w:type="character" w:styleId="Hyperlink">
    <w:name w:val="Hyperlink"/>
    <w:basedOn w:val="Fontepargpadro"/>
    <w:uiPriority w:val="99"/>
    <w:unhideWhenUsed/>
    <w:rsid w:val="00A74354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733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35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3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3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3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POTexto">
    <w:name w:val="PPO_Texto"/>
    <w:basedOn w:val="Normal"/>
    <w:qFormat/>
    <w:rsid w:val="00A459C3"/>
    <w:pPr>
      <w:spacing w:line="360" w:lineRule="auto"/>
      <w:jc w:val="both"/>
    </w:pPr>
    <w:rPr>
      <w:rFonts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637C"/>
    <w:pPr>
      <w:keepNext/>
      <w:jc w:val="center"/>
      <w:outlineLvl w:val="0"/>
    </w:pPr>
    <w:rPr>
      <w:rFonts w:ascii="Comic Sans MS" w:hAnsi="Comic Sans MS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6EB7"/>
    <w:pPr>
      <w:jc w:val="both"/>
    </w:pPr>
    <w:rPr>
      <w:rFonts w:ascii="Garamond" w:hAnsi="Garamond"/>
      <w:sz w:val="24"/>
    </w:rPr>
  </w:style>
  <w:style w:type="character" w:customStyle="1" w:styleId="Corpodetexto2Char">
    <w:name w:val="Corpo de texto 2 Char"/>
    <w:basedOn w:val="Fontepargpadro"/>
    <w:link w:val="Corpodetexto2"/>
    <w:rsid w:val="00EF6EB7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6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E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7637C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67637C"/>
    <w:pPr>
      <w:widowControl w:val="0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FA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13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A96A32"/>
    <w:pPr>
      <w:jc w:val="center"/>
    </w:pPr>
    <w:rPr>
      <w:rFonts w:ascii="Arial" w:hAnsi="Arial" w:cs="Arial"/>
      <w:sz w:val="28"/>
    </w:rPr>
  </w:style>
  <w:style w:type="character" w:customStyle="1" w:styleId="TtuloChar">
    <w:name w:val="Título Char"/>
    <w:basedOn w:val="Fontepargpadro"/>
    <w:link w:val="Ttulo"/>
    <w:rsid w:val="00A96A32"/>
    <w:rPr>
      <w:rFonts w:ascii="Arial" w:eastAsia="Times New Roman" w:hAnsi="Arial" w:cs="Arial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55E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155E"/>
    <w:rPr>
      <w:rFonts w:ascii="Calibri" w:eastAsia="Calibri" w:hAnsi="Calibri" w:cs="Times New Roman"/>
    </w:rPr>
  </w:style>
  <w:style w:type="paragraph" w:customStyle="1" w:styleId="POP1">
    <w:name w:val="POP1"/>
    <w:basedOn w:val="Ttulo1"/>
    <w:next w:val="Normal"/>
    <w:qFormat/>
    <w:rsid w:val="00A74354"/>
    <w:pPr>
      <w:numPr>
        <w:numId w:val="9"/>
      </w:numPr>
      <w:tabs>
        <w:tab w:val="left" w:pos="0"/>
        <w:tab w:val="left" w:pos="284"/>
        <w:tab w:val="left" w:pos="397"/>
        <w:tab w:val="left" w:pos="567"/>
      </w:tabs>
      <w:spacing w:after="120" w:line="360" w:lineRule="auto"/>
      <w:ind w:left="0" w:firstLine="0"/>
      <w:jc w:val="both"/>
    </w:pPr>
    <w:rPr>
      <w:rFonts w:ascii="Times New Roman" w:hAnsi="Times New Roman"/>
      <w:bCs/>
      <w:kern w:val="32"/>
      <w:szCs w:val="32"/>
    </w:rPr>
  </w:style>
  <w:style w:type="paragraph" w:customStyle="1" w:styleId="POP2">
    <w:name w:val="POP2"/>
    <w:basedOn w:val="Ttulo2"/>
    <w:next w:val="Normal"/>
    <w:qFormat/>
    <w:rsid w:val="00A74354"/>
    <w:pPr>
      <w:keepLines w:val="0"/>
      <w:numPr>
        <w:ilvl w:val="1"/>
        <w:numId w:val="9"/>
      </w:numPr>
      <w:tabs>
        <w:tab w:val="left" w:pos="0"/>
        <w:tab w:val="left" w:pos="284"/>
        <w:tab w:val="left" w:pos="397"/>
        <w:tab w:val="left" w:pos="567"/>
        <w:tab w:val="left" w:pos="851"/>
      </w:tabs>
      <w:spacing w:before="0" w:after="120" w:line="360" w:lineRule="auto"/>
      <w:ind w:left="0" w:firstLine="0"/>
    </w:pPr>
    <w:rPr>
      <w:rFonts w:ascii="Times New Roman" w:eastAsia="Times New Roman" w:hAnsi="Times New Roman" w:cs="Times New Roman"/>
      <w:bCs w:val="0"/>
      <w:color w:val="000000"/>
      <w:sz w:val="24"/>
      <w:szCs w:val="20"/>
    </w:rPr>
  </w:style>
  <w:style w:type="paragraph" w:customStyle="1" w:styleId="POP3">
    <w:name w:val="POP3"/>
    <w:basedOn w:val="POP1"/>
    <w:next w:val="Normal"/>
    <w:qFormat/>
    <w:rsid w:val="00A74354"/>
    <w:pPr>
      <w:numPr>
        <w:ilvl w:val="2"/>
      </w:numPr>
      <w:ind w:left="181" w:hanging="181"/>
    </w:pPr>
  </w:style>
  <w:style w:type="character" w:styleId="Forte">
    <w:name w:val="Strong"/>
    <w:basedOn w:val="Fontepargpadro"/>
    <w:uiPriority w:val="22"/>
    <w:qFormat/>
    <w:rsid w:val="00A74354"/>
    <w:rPr>
      <w:b/>
      <w:bCs/>
    </w:rPr>
  </w:style>
  <w:style w:type="character" w:styleId="Hyperlink">
    <w:name w:val="Hyperlink"/>
    <w:basedOn w:val="Fontepargpadro"/>
    <w:uiPriority w:val="99"/>
    <w:unhideWhenUsed/>
    <w:rsid w:val="00A74354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733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35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3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3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3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POTexto">
    <w:name w:val="PPO_Texto"/>
    <w:basedOn w:val="Normal"/>
    <w:qFormat/>
    <w:rsid w:val="00A459C3"/>
    <w:pPr>
      <w:spacing w:line="360" w:lineRule="auto"/>
      <w:jc w:val="both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2.fm.usp.br/gdc/docs/cep_5_grss_2_cartilh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938B-AF96-4CED-806B-BD35F8F6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1619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idaf</cp:lastModifiedBy>
  <cp:revision>2</cp:revision>
  <cp:lastPrinted>2018-06-18T19:22:00Z</cp:lastPrinted>
  <dcterms:created xsi:type="dcterms:W3CDTF">2019-02-07T17:31:00Z</dcterms:created>
  <dcterms:modified xsi:type="dcterms:W3CDTF">2019-02-07T17:31:00Z</dcterms:modified>
</cp:coreProperties>
</file>